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0E" w:rsidRPr="00816330" w:rsidRDefault="00D32226" w:rsidP="00816330">
      <w:pPr>
        <w:jc w:val="center"/>
        <w:rPr>
          <w:b/>
          <w:u w:val="single"/>
        </w:rPr>
      </w:pPr>
      <w:r w:rsidRPr="00816330">
        <w:rPr>
          <w:b/>
          <w:u w:val="single"/>
        </w:rPr>
        <w:t>PERIOPERATIVE MORTALITY- TIME FRAME, GUIDELINES</w:t>
      </w:r>
    </w:p>
    <w:p w:rsidR="007A4B03" w:rsidRDefault="00D32226" w:rsidP="007A4B03">
      <w:pPr>
        <w:jc w:val="both"/>
      </w:pPr>
      <w:r>
        <w:t xml:space="preserve">The United Nations, </w:t>
      </w:r>
      <w:r w:rsidRPr="00D32226">
        <w:t xml:space="preserve">World Health Organization (WHO), and Ministries </w:t>
      </w:r>
      <w:r w:rsidR="00E915A0">
        <w:t xml:space="preserve">of Health prepare to </w:t>
      </w:r>
      <w:r w:rsidR="00BF6BD7">
        <w:t xml:space="preserve">deﬁne </w:t>
      </w:r>
      <w:r w:rsidR="00BF6BD7" w:rsidRPr="00D32226">
        <w:t>global</w:t>
      </w:r>
      <w:r w:rsidRPr="00D32226">
        <w:t xml:space="preserve"> health priorities under the umbrel</w:t>
      </w:r>
      <w:r w:rsidR="00E915A0">
        <w:t xml:space="preserve">la of universal health coverage.  </w:t>
      </w:r>
      <w:r w:rsidR="007A4B03" w:rsidRPr="00E915A0">
        <w:t xml:space="preserve">Global health metrics are usually summarized using health indices. </w:t>
      </w:r>
      <w:r w:rsidR="007A4B03">
        <w:t xml:space="preserve"> S</w:t>
      </w:r>
      <w:r w:rsidR="007A4B03" w:rsidRPr="00E915A0">
        <w:t>uch as life expectancy and infant and MMR, are often used as proxy measures for overall health status</w:t>
      </w:r>
      <w:r w:rsidR="007A4B03">
        <w:t xml:space="preserve">. These health indicators provide necessary data and guidance for evaluating overall health of the population under surveillance at different levels. </w:t>
      </w:r>
    </w:p>
    <w:p w:rsidR="00E915A0" w:rsidRDefault="006A5B38" w:rsidP="00BF6BD7">
      <w:pPr>
        <w:jc w:val="both"/>
      </w:pPr>
      <w:r>
        <w:t xml:space="preserve">Similarly </w:t>
      </w:r>
      <w:proofErr w:type="spellStart"/>
      <w:r>
        <w:t>s</w:t>
      </w:r>
      <w:r w:rsidR="00D32226" w:rsidRPr="00D32226">
        <w:t>peciﬁc</w:t>
      </w:r>
      <w:proofErr w:type="spellEnd"/>
      <w:r w:rsidR="00D32226" w:rsidRPr="00D32226">
        <w:t xml:space="preserve"> goals for access to and safety of sur</w:t>
      </w:r>
      <w:r>
        <w:t xml:space="preserve">gery and </w:t>
      </w:r>
      <w:proofErr w:type="spellStart"/>
      <w:r>
        <w:t>anaesthesia</w:t>
      </w:r>
      <w:proofErr w:type="spellEnd"/>
      <w:r>
        <w:t xml:space="preserve"> are to be explored.</w:t>
      </w:r>
      <w:r w:rsidR="00E915A0">
        <w:t xml:space="preserve"> </w:t>
      </w:r>
      <w:r w:rsidR="00D32226" w:rsidRPr="00D32226">
        <w:t xml:space="preserve"> </w:t>
      </w:r>
    </w:p>
    <w:p w:rsidR="006A5B38" w:rsidRDefault="00D32226" w:rsidP="00BF6BD7">
      <w:pPr>
        <w:jc w:val="both"/>
      </w:pPr>
      <w:r w:rsidRPr="00D32226">
        <w:t>In this article we describe how</w:t>
      </w:r>
      <w:r w:rsidR="00BF6BD7">
        <w:t xml:space="preserve"> a key indicator of </w:t>
      </w:r>
      <w:r w:rsidR="006A5B38">
        <w:t xml:space="preserve">Surgical </w:t>
      </w:r>
      <w:r w:rsidR="00BF6BD7">
        <w:t xml:space="preserve">safety—the </w:t>
      </w:r>
      <w:proofErr w:type="spellStart"/>
      <w:r w:rsidR="00BF6BD7">
        <w:t>P</w:t>
      </w:r>
      <w:r w:rsidRPr="00D32226">
        <w:t>eri</w:t>
      </w:r>
      <w:proofErr w:type="spellEnd"/>
      <w:r w:rsidR="00BF6BD7">
        <w:t xml:space="preserve"> </w:t>
      </w:r>
      <w:r w:rsidRPr="00D32226">
        <w:t xml:space="preserve">operative mortality rate (POMR)—may be used to improve the quality of care received by </w:t>
      </w:r>
      <w:r w:rsidR="006A5B38">
        <w:t xml:space="preserve">patients. It is recommended that </w:t>
      </w:r>
      <w:r w:rsidR="006A5B38" w:rsidRPr="00BF6BD7">
        <w:t xml:space="preserve">the POMR should be recognized as a health indicator of the quality and safety of surgery and </w:t>
      </w:r>
      <w:proofErr w:type="spellStart"/>
      <w:r w:rsidR="006A5B38" w:rsidRPr="00BF6BD7">
        <w:t>anaesthesia</w:t>
      </w:r>
      <w:proofErr w:type="spellEnd"/>
    </w:p>
    <w:p w:rsidR="00BF6BD7" w:rsidRDefault="00BF6BD7" w:rsidP="00BF6BD7">
      <w:pPr>
        <w:jc w:val="both"/>
      </w:pPr>
      <w:r>
        <w:t xml:space="preserve">Surgical diseases affect both genders and people of all decades of life. </w:t>
      </w:r>
      <w:r w:rsidRPr="00BF6BD7">
        <w:t xml:space="preserve">Therefore, a health index applicable to surgery has been challenging to </w:t>
      </w:r>
      <w:proofErr w:type="spellStart"/>
      <w:r w:rsidRPr="00BF6BD7">
        <w:t>deﬁne</w:t>
      </w:r>
      <w:proofErr w:type="spellEnd"/>
      <w:r w:rsidRPr="00BF6BD7">
        <w:t xml:space="preserve">, even more so because surgery covers a diverse range of conditions and diseases. However, a ‘‘surgical’’ health index is necessary for the evaluation and ultimate improvement of surgical and </w:t>
      </w:r>
      <w:proofErr w:type="spellStart"/>
      <w:r w:rsidRPr="00BF6BD7">
        <w:t>anaesthetic</w:t>
      </w:r>
      <w:proofErr w:type="spellEnd"/>
      <w:r w:rsidRPr="00BF6BD7">
        <w:t xml:space="preserve"> interventions directed at </w:t>
      </w:r>
      <w:r w:rsidR="006E0D07">
        <w:t>the burden of surgical disease.</w:t>
      </w:r>
    </w:p>
    <w:p w:rsidR="00BF6BD7" w:rsidRPr="006E0D07" w:rsidRDefault="00BF6BD7" w:rsidP="00BF6BD7">
      <w:pPr>
        <w:jc w:val="both"/>
        <w:rPr>
          <w:b/>
          <w:u w:val="single"/>
        </w:rPr>
      </w:pPr>
      <w:r w:rsidRPr="006E0D07">
        <w:rPr>
          <w:b/>
          <w:u w:val="single"/>
        </w:rPr>
        <w:t>Definition:</w:t>
      </w:r>
    </w:p>
    <w:p w:rsidR="00BF6BD7" w:rsidRDefault="00BF6BD7" w:rsidP="00BF6BD7">
      <w:pPr>
        <w:jc w:val="both"/>
      </w:pPr>
      <w:r w:rsidRPr="00BF6BD7">
        <w:t xml:space="preserve">The POMR is </w:t>
      </w:r>
      <w:proofErr w:type="spellStart"/>
      <w:r w:rsidRPr="00BF6BD7">
        <w:t>deﬁned</w:t>
      </w:r>
      <w:proofErr w:type="spellEnd"/>
      <w:r w:rsidRPr="00BF6BD7">
        <w:t xml:space="preserve"> as death following surgery and </w:t>
      </w:r>
      <w:proofErr w:type="spellStart"/>
      <w:r w:rsidRPr="00BF6BD7">
        <w:t>anaesthesia</w:t>
      </w:r>
      <w:proofErr w:type="spellEnd"/>
      <w:r w:rsidRPr="00BF6BD7">
        <w:t xml:space="preserve"> within two time periods: </w:t>
      </w:r>
    </w:p>
    <w:p w:rsidR="00BF6BD7" w:rsidRDefault="006A5B38" w:rsidP="00BF6BD7">
      <w:pPr>
        <w:jc w:val="both"/>
      </w:pPr>
      <w:r>
        <w:t>O</w:t>
      </w:r>
      <w:r w:rsidR="00BF6BD7" w:rsidRPr="00BF6BD7">
        <w:t>n the day of surgery (including death in the operating theatre) and before</w:t>
      </w:r>
      <w:r w:rsidR="00BF6BD7">
        <w:t xml:space="preserve"> </w:t>
      </w:r>
      <w:r w:rsidR="00BF6BD7" w:rsidRPr="00BF6BD7">
        <w:t>discharge from hospital or within 30 days of surgery, whichever is sooner.</w:t>
      </w:r>
    </w:p>
    <w:p w:rsidR="006A5B38" w:rsidRPr="006E0D07" w:rsidRDefault="00D31F2B" w:rsidP="00BF6BD7">
      <w:pPr>
        <w:jc w:val="both"/>
        <w:rPr>
          <w:b/>
          <w:u w:val="single"/>
        </w:rPr>
      </w:pPr>
      <w:r w:rsidRPr="006E0D07">
        <w:rPr>
          <w:b/>
          <w:u w:val="single"/>
        </w:rPr>
        <w:t>How do we measure POMR</w:t>
      </w:r>
    </w:p>
    <w:p w:rsidR="00D31F2B" w:rsidRDefault="00210B99" w:rsidP="00BF6BD7">
      <w:pPr>
        <w:jc w:val="both"/>
      </w:pPr>
      <w:r>
        <w:t>It is measured as a</w:t>
      </w:r>
      <w:r w:rsidR="00D31F2B">
        <w:t xml:space="preserve"> ratio between the </w:t>
      </w:r>
      <w:r>
        <w:t>numbers</w:t>
      </w:r>
      <w:r w:rsidR="00D31F2B">
        <w:t xml:space="preserve"> of deaths divided by the total number</w:t>
      </w:r>
      <w:r>
        <w:t xml:space="preserve"> operative procedures. </w:t>
      </w:r>
      <w:r w:rsidRPr="00210B99">
        <w:t>Some patients will have more than one procedure during a hospital admission so the total number of procedures will exceed the total number of patients</w:t>
      </w:r>
      <w:r>
        <w:t>.</w:t>
      </w:r>
    </w:p>
    <w:p w:rsidR="00CF500E" w:rsidRPr="00CF500E" w:rsidRDefault="00CF500E" w:rsidP="00BF6BD7">
      <w:pPr>
        <w:jc w:val="both"/>
        <w:rPr>
          <w:b/>
          <w:u w:val="single"/>
        </w:rPr>
      </w:pPr>
      <w:r w:rsidRPr="00CF500E">
        <w:rPr>
          <w:b/>
          <w:u w:val="single"/>
        </w:rPr>
        <w:t>Importance of Risk stratification</w:t>
      </w:r>
    </w:p>
    <w:p w:rsidR="00D31F2B" w:rsidRDefault="007E0F8C" w:rsidP="00BF6BD7">
      <w:pPr>
        <w:jc w:val="both"/>
      </w:pPr>
      <w:r w:rsidRPr="007E0F8C">
        <w:t>Su</w:t>
      </w:r>
      <w:r>
        <w:t>rgical complications occur i</w:t>
      </w:r>
      <w:r w:rsidR="00CF500E">
        <w:t>n 3-17% of patient</w:t>
      </w:r>
      <w:r w:rsidRPr="007E0F8C">
        <w:t xml:space="preserve"> in the general population, surgical mortality is approximately 0.5%, but in elderly patients unde</w:t>
      </w:r>
      <w:r w:rsidR="00CF500E">
        <w:t>rgoing emergency surgery mortality rate is can go higher than 12%.</w:t>
      </w:r>
    </w:p>
    <w:p w:rsidR="00CF500E" w:rsidRDefault="00CF500E" w:rsidP="00BF6BD7">
      <w:pPr>
        <w:jc w:val="both"/>
      </w:pPr>
      <w:r w:rsidRPr="00CF500E">
        <w:t xml:space="preserve">Accurate risk </w:t>
      </w:r>
      <w:proofErr w:type="spellStart"/>
      <w:r w:rsidRPr="00CF500E">
        <w:t>stratiﬁcation</w:t>
      </w:r>
      <w:proofErr w:type="spellEnd"/>
      <w:r w:rsidRPr="00CF500E">
        <w:t xml:space="preserve"> would facilitate informed patient consent and identify those individuals who may </w:t>
      </w:r>
      <w:proofErr w:type="spellStart"/>
      <w:r w:rsidRPr="00CF500E">
        <w:t>beneﬁt</w:t>
      </w:r>
      <w:proofErr w:type="spellEnd"/>
      <w:r w:rsidRPr="00CF500E">
        <w:t xml:space="preserve"> from </w:t>
      </w:r>
      <w:proofErr w:type="spellStart"/>
      <w:r w:rsidRPr="00CF500E">
        <w:t>speciﬁc</w:t>
      </w:r>
      <w:proofErr w:type="spellEnd"/>
      <w:r w:rsidRPr="00CF500E">
        <w:t xml:space="preserve"> </w:t>
      </w:r>
      <w:proofErr w:type="spellStart"/>
      <w:r w:rsidRPr="00CF500E">
        <w:t>perioperative</w:t>
      </w:r>
      <w:proofErr w:type="spellEnd"/>
      <w:r w:rsidRPr="00CF500E">
        <w:t xml:space="preserve"> interventions.</w:t>
      </w:r>
    </w:p>
    <w:p w:rsidR="00CF500E" w:rsidRDefault="00CF500E" w:rsidP="00BF6BD7">
      <w:pPr>
        <w:jc w:val="both"/>
      </w:pPr>
      <w:r w:rsidRPr="00CF500E">
        <w:t>The ideal risk prediction model would be one that is simple, reproducible, accurate, objective, and available to all patients.</w:t>
      </w:r>
    </w:p>
    <w:p w:rsidR="00210B99" w:rsidRDefault="00210B99" w:rsidP="00BF6BD7">
      <w:pPr>
        <w:jc w:val="both"/>
      </w:pPr>
    </w:p>
    <w:p w:rsidR="00BF6BD7" w:rsidRDefault="00210B99" w:rsidP="00210B99">
      <w:pPr>
        <w:tabs>
          <w:tab w:val="left" w:pos="6399"/>
        </w:tabs>
      </w:pPr>
      <w:r>
        <w:lastRenderedPageBreak/>
        <w:tab/>
      </w:r>
    </w:p>
    <w:p w:rsidR="00210B99" w:rsidRDefault="00CF500E" w:rsidP="00210B99">
      <w:pPr>
        <w:tabs>
          <w:tab w:val="left" w:pos="6399"/>
        </w:tabs>
      </w:pPr>
      <w:r>
        <w:t>Risk stratification systems</w:t>
      </w:r>
    </w:p>
    <w:p w:rsidR="00CF500E" w:rsidRDefault="00CF500E" w:rsidP="00210B99">
      <w:pPr>
        <w:tabs>
          <w:tab w:val="left" w:pos="6399"/>
        </w:tabs>
      </w:pPr>
      <w:r>
        <w:t xml:space="preserve">Classified into </w:t>
      </w:r>
    </w:p>
    <w:p w:rsidR="00CF500E" w:rsidRDefault="00CF500E" w:rsidP="00CF500E">
      <w:pPr>
        <w:pStyle w:val="ListParagraph"/>
        <w:numPr>
          <w:ilvl w:val="0"/>
          <w:numId w:val="1"/>
        </w:numPr>
        <w:tabs>
          <w:tab w:val="left" w:pos="6399"/>
        </w:tabs>
      </w:pPr>
      <w:r>
        <w:t>T</w:t>
      </w:r>
      <w:r w:rsidRPr="00CF500E">
        <w:t>hose est</w:t>
      </w:r>
      <w:r>
        <w:t xml:space="preserve">imating population risk -  </w:t>
      </w:r>
      <w:r w:rsidRPr="00CF500E">
        <w:t xml:space="preserve">American Society of </w:t>
      </w:r>
      <w:proofErr w:type="spellStart"/>
      <w:r w:rsidRPr="00CF500E">
        <w:t>Anaesthesiologists</w:t>
      </w:r>
      <w:proofErr w:type="spellEnd"/>
      <w:r w:rsidRPr="00CF500E">
        <w:t xml:space="preserve"> Phys</w:t>
      </w:r>
      <w:r>
        <w:t xml:space="preserve">ical Status score </w:t>
      </w:r>
      <w:r w:rsidRPr="00C54BE8">
        <w:rPr>
          <w:b/>
        </w:rPr>
        <w:t>(ASA-PS)</w:t>
      </w:r>
    </w:p>
    <w:p w:rsidR="00CF500E" w:rsidRDefault="00CF500E" w:rsidP="00CF500E">
      <w:pPr>
        <w:pStyle w:val="ListParagraph"/>
        <w:numPr>
          <w:ilvl w:val="0"/>
          <w:numId w:val="1"/>
        </w:numPr>
        <w:tabs>
          <w:tab w:val="left" w:pos="6399"/>
        </w:tabs>
      </w:pPr>
      <w:r>
        <w:t>T</w:t>
      </w:r>
      <w:r w:rsidRPr="00CF500E">
        <w:t>hose estimating individual risk.</w:t>
      </w:r>
      <w:r>
        <w:t xml:space="preserve"> – Further sub divided into – </w:t>
      </w:r>
    </w:p>
    <w:p w:rsidR="00CF500E" w:rsidRDefault="00CF500E" w:rsidP="00CF500E">
      <w:pPr>
        <w:pStyle w:val="ListParagraph"/>
        <w:numPr>
          <w:ilvl w:val="2"/>
          <w:numId w:val="1"/>
        </w:numPr>
        <w:tabs>
          <w:tab w:val="left" w:pos="6399"/>
        </w:tabs>
      </w:pPr>
      <w:r>
        <w:t>Those systems</w:t>
      </w:r>
      <w:r w:rsidR="00C54BE8">
        <w:t xml:space="preserve"> </w:t>
      </w:r>
      <w:r w:rsidRPr="00CF500E">
        <w:t>designed to predict cardiac morbidity and mortality such as the Lee Re</w:t>
      </w:r>
      <w:r>
        <w:t xml:space="preserve">vised Cardiac Risk Index </w:t>
      </w:r>
      <w:r w:rsidRPr="00C54BE8">
        <w:rPr>
          <w:b/>
        </w:rPr>
        <w:t>(RCRI)</w:t>
      </w:r>
    </w:p>
    <w:p w:rsidR="00CF500E" w:rsidRDefault="00CF500E" w:rsidP="00CF500E">
      <w:pPr>
        <w:pStyle w:val="ListParagraph"/>
        <w:numPr>
          <w:ilvl w:val="2"/>
          <w:numId w:val="1"/>
        </w:numPr>
        <w:tabs>
          <w:tab w:val="left" w:pos="6399"/>
        </w:tabs>
      </w:pPr>
      <w:r w:rsidRPr="00CF500E">
        <w:t>These include scores which use s</w:t>
      </w:r>
      <w:r>
        <w:t>olely preoperative risk factors -</w:t>
      </w:r>
      <w:proofErr w:type="spellStart"/>
      <w:r w:rsidRPr="00C54BE8">
        <w:rPr>
          <w:b/>
        </w:rPr>
        <w:t>Charlson</w:t>
      </w:r>
      <w:proofErr w:type="spellEnd"/>
      <w:r w:rsidRPr="00C54BE8">
        <w:rPr>
          <w:b/>
        </w:rPr>
        <w:t xml:space="preserve"> Index</w:t>
      </w:r>
    </w:p>
    <w:p w:rsidR="00CF500E" w:rsidRDefault="00C54BE8" w:rsidP="00CF500E">
      <w:pPr>
        <w:pStyle w:val="ListParagraph"/>
        <w:numPr>
          <w:ilvl w:val="2"/>
          <w:numId w:val="1"/>
        </w:numPr>
        <w:tabs>
          <w:tab w:val="left" w:pos="6399"/>
        </w:tabs>
      </w:pPr>
      <w:r>
        <w:t xml:space="preserve"> T</w:t>
      </w:r>
      <w:r w:rsidR="00CF500E" w:rsidRPr="00CF500E">
        <w:t xml:space="preserve">hose looking at a combination of preoperative, </w:t>
      </w:r>
      <w:proofErr w:type="spellStart"/>
      <w:r w:rsidR="00CF500E" w:rsidRPr="00CF500E">
        <w:t>intraopera</w:t>
      </w:r>
      <w:r>
        <w:t>tive</w:t>
      </w:r>
      <w:proofErr w:type="spellEnd"/>
      <w:r>
        <w:t xml:space="preserve">, and postoperative factors </w:t>
      </w:r>
      <w:proofErr w:type="gramStart"/>
      <w:r>
        <w:t xml:space="preserve">- </w:t>
      </w:r>
      <w:r w:rsidR="00CF500E" w:rsidRPr="00CF500E">
        <w:t xml:space="preserve"> Physiological</w:t>
      </w:r>
      <w:proofErr w:type="gramEnd"/>
      <w:r w:rsidR="00CF500E" w:rsidRPr="00CF500E">
        <w:t xml:space="preserve"> and Oper</w:t>
      </w:r>
      <w:r w:rsidR="00B916AB">
        <w:t>ative Severity Score for the enu</w:t>
      </w:r>
      <w:r w:rsidR="00CF500E" w:rsidRPr="00CF500E">
        <w:t xml:space="preserve">meration of Morbidity and Mortality </w:t>
      </w:r>
      <w:r w:rsidR="00CF500E" w:rsidRPr="00C54BE8">
        <w:rPr>
          <w:b/>
        </w:rPr>
        <w:t>(POSSUM).</w:t>
      </w:r>
    </w:p>
    <w:p w:rsidR="00FB4935" w:rsidRPr="00FB4935" w:rsidRDefault="00FB4935" w:rsidP="00210B99">
      <w:pPr>
        <w:tabs>
          <w:tab w:val="left" w:pos="6399"/>
        </w:tabs>
        <w:rPr>
          <w:b/>
          <w:u w:val="single"/>
        </w:rPr>
      </w:pPr>
      <w:r>
        <w:rPr>
          <w:b/>
          <w:u w:val="single"/>
        </w:rPr>
        <w:t>Risk factors</w:t>
      </w:r>
    </w:p>
    <w:p w:rsidR="00FB4935" w:rsidRDefault="00FB4935" w:rsidP="00210B99">
      <w:pPr>
        <w:tabs>
          <w:tab w:val="left" w:pos="6399"/>
        </w:tabs>
      </w:pPr>
      <w:r w:rsidRPr="00FB4935">
        <w:t xml:space="preserve"> •Urgency </w:t>
      </w:r>
    </w:p>
    <w:p w:rsidR="00FB4935" w:rsidRDefault="00FB4935" w:rsidP="00210B99">
      <w:pPr>
        <w:tabs>
          <w:tab w:val="left" w:pos="6399"/>
        </w:tabs>
      </w:pPr>
      <w:r w:rsidRPr="00FB4935">
        <w:t xml:space="preserve">•Age </w:t>
      </w:r>
    </w:p>
    <w:p w:rsidR="00FB4935" w:rsidRDefault="00FB4935" w:rsidP="00210B99">
      <w:pPr>
        <w:tabs>
          <w:tab w:val="left" w:pos="6399"/>
        </w:tabs>
      </w:pPr>
      <w:r>
        <w:t xml:space="preserve">•Pre operative Risk scoring </w:t>
      </w:r>
      <w:r w:rsidRPr="00FB4935">
        <w:t>(</w:t>
      </w:r>
      <w:proofErr w:type="spellStart"/>
      <w:r w:rsidRPr="00FB4935">
        <w:t>Comorbidities</w:t>
      </w:r>
      <w:proofErr w:type="spellEnd"/>
      <w:r w:rsidRPr="00FB4935">
        <w:t xml:space="preserve">) </w:t>
      </w:r>
    </w:p>
    <w:p w:rsidR="00FB4935" w:rsidRDefault="00FB4935" w:rsidP="00210B99">
      <w:pPr>
        <w:tabs>
          <w:tab w:val="left" w:pos="6399"/>
        </w:tabs>
      </w:pPr>
      <w:r>
        <w:t>•Condition/Surgical Procedure </w:t>
      </w:r>
      <w:r w:rsidRPr="00FB4935">
        <w:t xml:space="preserve">  </w:t>
      </w:r>
    </w:p>
    <w:p w:rsidR="00FB4935" w:rsidRDefault="00FB4935" w:rsidP="00210B99">
      <w:pPr>
        <w:tabs>
          <w:tab w:val="left" w:pos="6399"/>
        </w:tabs>
      </w:pPr>
      <w:r>
        <w:t>• Gender</w:t>
      </w:r>
    </w:p>
    <w:p w:rsidR="00FB4935" w:rsidRDefault="00FB4935" w:rsidP="00210B99">
      <w:pPr>
        <w:tabs>
          <w:tab w:val="left" w:pos="6399"/>
        </w:tabs>
      </w:pPr>
      <w:r>
        <w:t>•Nature of infrastructure available</w:t>
      </w:r>
    </w:p>
    <w:p w:rsidR="003B3AA3" w:rsidRDefault="003B3AA3" w:rsidP="00210B99">
      <w:pPr>
        <w:tabs>
          <w:tab w:val="left" w:pos="6399"/>
        </w:tabs>
      </w:pPr>
    </w:p>
    <w:p w:rsidR="003B3AA3" w:rsidRDefault="003B3AA3" w:rsidP="00210B99">
      <w:pPr>
        <w:tabs>
          <w:tab w:val="left" w:pos="6399"/>
        </w:tabs>
      </w:pPr>
      <w:r w:rsidRPr="003B3AA3">
        <w:t>Older adults (≥ 65 yr) are the fastest growing population and are presenting in increasing numbers for acute surgical care. Emergency surgery is frequently life threatening for older patients.</w:t>
      </w:r>
      <w:r>
        <w:t xml:space="preserve"> </w:t>
      </w:r>
      <w:r w:rsidR="00273D19" w:rsidRPr="00273D19">
        <w:t>The 48 h and 30 d</w:t>
      </w:r>
      <w:r w:rsidR="00273D19">
        <w:t>ay</w:t>
      </w:r>
      <w:r w:rsidR="00273D19" w:rsidRPr="00273D19">
        <w:t xml:space="preserve"> incidence of postoperative mortality was 0.57% and 2.1%, respectively</w:t>
      </w:r>
      <w:r w:rsidR="00E1540A">
        <w:t>²</w:t>
      </w:r>
      <w:r w:rsidR="00273D19" w:rsidRPr="00273D19">
        <w:t>. Higher American Society of Anesthesiologists physical status scores, extremes of age, emergencies, </w:t>
      </w:r>
      <w:proofErr w:type="gramStart"/>
      <w:r w:rsidR="00273D19">
        <w:t>In</w:t>
      </w:r>
      <w:proofErr w:type="gramEnd"/>
      <w:r w:rsidR="00273D19">
        <w:t>-hospital mortality went</w:t>
      </w:r>
      <w:r w:rsidRPr="003B3AA3">
        <w:t xml:space="preserve"> </w:t>
      </w:r>
      <w:r w:rsidR="00273D19">
        <w:t xml:space="preserve">up to </w:t>
      </w:r>
      <w:r w:rsidRPr="003B3AA3">
        <w:t xml:space="preserve">12%. </w:t>
      </w:r>
      <w:r w:rsidR="00273D19">
        <w:t xml:space="preserve"> </w:t>
      </w:r>
      <w:r w:rsidRPr="003B3AA3">
        <w:t>Mortality was associated with patients who had higher American Society of Anesthesiologists (ASA) class</w:t>
      </w:r>
      <w:r w:rsidR="00273D19">
        <w:t>.</w:t>
      </w:r>
      <w:r w:rsidR="00A92F21">
        <w:t xml:space="preserve"> </w:t>
      </w:r>
      <w:r w:rsidR="00816330" w:rsidRPr="00816330">
        <w:t>Mortality rates for these patients are significantly higher and more variable across hospitals wh</w:t>
      </w:r>
      <w:r w:rsidR="00816330">
        <w:t>en compared to younger patientsⁱ</w:t>
      </w:r>
    </w:p>
    <w:p w:rsidR="00A92F21" w:rsidRDefault="00A92F21" w:rsidP="00A92F21">
      <w:pPr>
        <w:tabs>
          <w:tab w:val="left" w:pos="6399"/>
        </w:tabs>
      </w:pPr>
      <w:r w:rsidRPr="00A92F21">
        <w:t>Thirty-day mortality</w:t>
      </w:r>
      <w:r>
        <w:t xml:space="preserve"> </w:t>
      </w:r>
      <w:r w:rsidRPr="00A92F21">
        <w:t>reported by condition or</w:t>
      </w:r>
      <w:r>
        <w:t xml:space="preserve"> </w:t>
      </w:r>
      <w:r w:rsidRPr="00A92F21">
        <w:t>procedure from developed</w:t>
      </w:r>
      <w:r>
        <w:t xml:space="preserve"> </w:t>
      </w:r>
      <w:r w:rsidRPr="00A92F21">
        <w:t>nations</w:t>
      </w:r>
      <w:r>
        <w:t xml:space="preserve"> ranges from 1.2% for elective hip and knee </w:t>
      </w:r>
      <w:proofErr w:type="spellStart"/>
      <w:r>
        <w:t>arthroplasty</w:t>
      </w:r>
      <w:proofErr w:type="spellEnd"/>
      <w:r>
        <w:t xml:space="preserve"> and extends </w:t>
      </w:r>
      <w:proofErr w:type="spellStart"/>
      <w:r>
        <w:t>upto</w:t>
      </w:r>
      <w:proofErr w:type="spellEnd"/>
      <w:r>
        <w:t xml:space="preserve"> 9.8% for emergency hip fracture surgery and colorectal surgery. </w:t>
      </w:r>
    </w:p>
    <w:p w:rsidR="00A92F21" w:rsidRDefault="00A92F21" w:rsidP="00210B99">
      <w:pPr>
        <w:tabs>
          <w:tab w:val="left" w:pos="6399"/>
        </w:tabs>
      </w:pPr>
    </w:p>
    <w:p w:rsidR="00273D19" w:rsidRDefault="00273D19" w:rsidP="00210B99">
      <w:pPr>
        <w:tabs>
          <w:tab w:val="left" w:pos="6399"/>
        </w:tabs>
      </w:pPr>
      <w:r>
        <w:lastRenderedPageBreak/>
        <w:t>H</w:t>
      </w:r>
      <w:r w:rsidRPr="00273D19">
        <w:t>igher failure to rescue rates in the elderly may signify their diminished physiological reserve for surviving critical illness</w:t>
      </w:r>
      <w:r>
        <w:t>. It a</w:t>
      </w:r>
      <w:r w:rsidRPr="00273D19">
        <w:t>lso highlights the importance of systems aimed at the early recognition and effective management of major complication</w:t>
      </w:r>
      <w:r w:rsidR="00E1540A">
        <w:t>s in this vulnerable population</w:t>
      </w:r>
      <w:r>
        <w:t>³</w:t>
      </w:r>
    </w:p>
    <w:p w:rsidR="00273D19" w:rsidRDefault="00A92F21" w:rsidP="00210B99">
      <w:pPr>
        <w:tabs>
          <w:tab w:val="left" w:pos="6399"/>
        </w:tabs>
      </w:pPr>
      <w:r>
        <w:t>Mortality in emergency major GI surgical patients remains high. Failure to allocate patients to the appropriate level of care immediately after surgery may contribute to the high postoperative mortality⁶</w:t>
      </w:r>
    </w:p>
    <w:p w:rsidR="00B05CAB" w:rsidRPr="00B05CAB" w:rsidRDefault="00B05CAB" w:rsidP="00B05CAB">
      <w:pPr>
        <w:tabs>
          <w:tab w:val="left" w:pos="6399"/>
        </w:tabs>
        <w:rPr>
          <w:b/>
          <w:bCs/>
        </w:rPr>
      </w:pPr>
      <w:r w:rsidRPr="00B05CAB">
        <w:rPr>
          <w:b/>
          <w:bCs/>
        </w:rPr>
        <w:t xml:space="preserve">Minimizing </w:t>
      </w:r>
      <w:proofErr w:type="spellStart"/>
      <w:r w:rsidRPr="00B05CAB">
        <w:rPr>
          <w:b/>
          <w:bCs/>
        </w:rPr>
        <w:t>perioperative</w:t>
      </w:r>
      <w:proofErr w:type="spellEnd"/>
      <w:r w:rsidRPr="00B05CAB">
        <w:rPr>
          <w:b/>
          <w:bCs/>
        </w:rPr>
        <w:t xml:space="preserve"> adverse events</w:t>
      </w:r>
    </w:p>
    <w:p w:rsidR="00B05CAB" w:rsidRDefault="00B05CAB" w:rsidP="00210B99">
      <w:pPr>
        <w:tabs>
          <w:tab w:val="left" w:pos="6399"/>
        </w:tabs>
      </w:pPr>
      <w:r>
        <w:rPr>
          <w:rFonts w:ascii="Lucida Sans Unicode" w:hAnsi="Lucida Sans Unicode" w:cs="Lucida Sans Unicode"/>
          <w:color w:val="000000"/>
          <w:sz w:val="16"/>
          <w:szCs w:val="16"/>
          <w:shd w:val="clear" w:color="auto" w:fill="FFFFFF"/>
        </w:rPr>
        <w:t xml:space="preserve">Elderly patients still have the highest postoperative mortality and morbidity rate in the adult surgical population. Preoperative clinical assessment to detect patients at high risk of postoperative events, and specific </w:t>
      </w:r>
      <w:proofErr w:type="spellStart"/>
      <w:r>
        <w:rPr>
          <w:rFonts w:ascii="Lucida Sans Unicode" w:hAnsi="Lucida Sans Unicode" w:cs="Lucida Sans Unicode"/>
          <w:color w:val="000000"/>
          <w:sz w:val="16"/>
          <w:szCs w:val="16"/>
          <w:shd w:val="clear" w:color="auto" w:fill="FFFFFF"/>
        </w:rPr>
        <w:t>intraoperative</w:t>
      </w:r>
      <w:proofErr w:type="spellEnd"/>
      <w:r>
        <w:rPr>
          <w:rFonts w:ascii="Lucida Sans Unicode" w:hAnsi="Lucida Sans Unicode" w:cs="Lucida Sans Unicode"/>
          <w:color w:val="000000"/>
          <w:sz w:val="16"/>
          <w:szCs w:val="16"/>
          <w:shd w:val="clear" w:color="auto" w:fill="FFFFFF"/>
        </w:rPr>
        <w:t xml:space="preserve"> and postoperative </w:t>
      </w:r>
      <w:proofErr w:type="spellStart"/>
      <w:r>
        <w:rPr>
          <w:rFonts w:ascii="Lucida Sans Unicode" w:hAnsi="Lucida Sans Unicode" w:cs="Lucida Sans Unicode"/>
          <w:color w:val="000000"/>
          <w:sz w:val="16"/>
          <w:szCs w:val="16"/>
          <w:shd w:val="clear" w:color="auto" w:fill="FFFFFF"/>
        </w:rPr>
        <w:t>anaesthesia</w:t>
      </w:r>
      <w:proofErr w:type="spellEnd"/>
      <w:r>
        <w:rPr>
          <w:rFonts w:ascii="Lucida Sans Unicode" w:hAnsi="Lucida Sans Unicode" w:cs="Lucida Sans Unicode"/>
          <w:color w:val="000000"/>
          <w:sz w:val="16"/>
          <w:szCs w:val="16"/>
          <w:shd w:val="clear" w:color="auto" w:fill="FFFFFF"/>
        </w:rPr>
        <w:t xml:space="preserve"> management are important to minimize postoperative adverse events in the elderly.</w:t>
      </w:r>
    </w:p>
    <w:p w:rsidR="00A92F21" w:rsidRDefault="00B05CAB" w:rsidP="00210B99">
      <w:pPr>
        <w:tabs>
          <w:tab w:val="left" w:pos="6399"/>
        </w:tabs>
        <w:rPr>
          <w:rFonts w:ascii="Lucida Sans Unicode" w:hAnsi="Lucida Sans Unicode" w:cs="Lucida Sans Unicode"/>
          <w:color w:val="000000"/>
          <w:sz w:val="16"/>
          <w:szCs w:val="16"/>
          <w:shd w:val="clear" w:color="auto" w:fill="FFFFFF"/>
        </w:rPr>
      </w:pPr>
      <w:r>
        <w:rPr>
          <w:rFonts w:ascii="Lucida Sans Unicode" w:hAnsi="Lucida Sans Unicode" w:cs="Lucida Sans Unicode"/>
          <w:color w:val="000000"/>
          <w:sz w:val="16"/>
          <w:szCs w:val="16"/>
          <w:shd w:val="clear" w:color="auto" w:fill="FFFFFF"/>
        </w:rPr>
        <w:t xml:space="preserve">Greater numbers of patients are presenting for surgery with ageing‐related, pre‐existing conditions that place them at greater risk of an adverse outcome, such as cardiac or pulmonary disease or diabetes mellitus. Pre‐existing cardiac disease predisposes substantial </w:t>
      </w:r>
      <w:proofErr w:type="spellStart"/>
      <w:r>
        <w:rPr>
          <w:rFonts w:ascii="Lucida Sans Unicode" w:hAnsi="Lucida Sans Unicode" w:cs="Lucida Sans Unicode"/>
          <w:color w:val="000000"/>
          <w:sz w:val="16"/>
          <w:szCs w:val="16"/>
          <w:shd w:val="clear" w:color="auto" w:fill="FFFFFF"/>
        </w:rPr>
        <w:t>perioperative</w:t>
      </w:r>
      <w:proofErr w:type="spellEnd"/>
      <w:r>
        <w:rPr>
          <w:rFonts w:ascii="Lucida Sans Unicode" w:hAnsi="Lucida Sans Unicode" w:cs="Lucida Sans Unicode"/>
          <w:color w:val="000000"/>
          <w:sz w:val="16"/>
          <w:szCs w:val="16"/>
          <w:shd w:val="clear" w:color="auto" w:fill="FFFFFF"/>
        </w:rPr>
        <w:t xml:space="preserve"> risk.</w:t>
      </w:r>
    </w:p>
    <w:p w:rsidR="00B05CAB" w:rsidRDefault="00B05CAB" w:rsidP="00210B99">
      <w:pPr>
        <w:tabs>
          <w:tab w:val="left" w:pos="6399"/>
        </w:tabs>
        <w:rPr>
          <w:rFonts w:ascii="Lucida Sans Unicode" w:hAnsi="Lucida Sans Unicode" w:cs="Lucida Sans Unicode"/>
          <w:color w:val="000000"/>
          <w:sz w:val="16"/>
          <w:szCs w:val="16"/>
          <w:shd w:val="clear" w:color="auto" w:fill="FFFFFF"/>
        </w:rPr>
      </w:pPr>
      <w:proofErr w:type="spellStart"/>
      <w:r>
        <w:rPr>
          <w:rFonts w:ascii="Lucida Sans Unicode" w:hAnsi="Lucida Sans Unicode" w:cs="Lucida Sans Unicode"/>
          <w:color w:val="000000"/>
          <w:sz w:val="16"/>
          <w:szCs w:val="16"/>
          <w:shd w:val="clear" w:color="auto" w:fill="FFFFFF"/>
        </w:rPr>
        <w:t>Perioperative</w:t>
      </w:r>
      <w:proofErr w:type="spellEnd"/>
      <w:r>
        <w:rPr>
          <w:rFonts w:ascii="Lucida Sans Unicode" w:hAnsi="Lucida Sans Unicode" w:cs="Lucida Sans Unicode"/>
          <w:color w:val="000000"/>
          <w:sz w:val="16"/>
          <w:szCs w:val="16"/>
          <w:shd w:val="clear" w:color="auto" w:fill="FFFFFF"/>
        </w:rPr>
        <w:t xml:space="preserve"> </w:t>
      </w:r>
      <w:proofErr w:type="spellStart"/>
      <w:r>
        <w:rPr>
          <w:rFonts w:ascii="Lucida Sans Unicode" w:hAnsi="Lucida Sans Unicode" w:cs="Lucida Sans Unicode"/>
          <w:color w:val="000000"/>
          <w:sz w:val="16"/>
          <w:szCs w:val="16"/>
          <w:shd w:val="clear" w:color="auto" w:fill="FFFFFF"/>
        </w:rPr>
        <w:t>anaesthetic</w:t>
      </w:r>
      <w:proofErr w:type="spellEnd"/>
      <w:r>
        <w:rPr>
          <w:rFonts w:ascii="Lucida Sans Unicode" w:hAnsi="Lucida Sans Unicode" w:cs="Lucida Sans Unicode"/>
          <w:color w:val="000000"/>
          <w:sz w:val="16"/>
          <w:szCs w:val="16"/>
          <w:shd w:val="clear" w:color="auto" w:fill="FFFFFF"/>
        </w:rPr>
        <w:t xml:space="preserve"> management varies according to the needs of the patient and of the surgical procedure.</w:t>
      </w:r>
    </w:p>
    <w:p w:rsidR="00FF1CEE" w:rsidRDefault="00FF1CEE" w:rsidP="00FF1CEE">
      <w:pPr>
        <w:pStyle w:val="ListParagraph"/>
        <w:numPr>
          <w:ilvl w:val="0"/>
          <w:numId w:val="3"/>
        </w:numPr>
        <w:tabs>
          <w:tab w:val="left" w:pos="6399"/>
        </w:tabs>
        <w:spacing w:after="0"/>
      </w:pPr>
      <w:r>
        <w:t>Preoperative assessment for identifying high risk patients</w:t>
      </w:r>
    </w:p>
    <w:p w:rsidR="00FF1CEE" w:rsidRDefault="00FF1CEE" w:rsidP="00FF1CEE">
      <w:pPr>
        <w:pStyle w:val="ListParagraph"/>
        <w:numPr>
          <w:ilvl w:val="0"/>
          <w:numId w:val="3"/>
        </w:numPr>
        <w:tabs>
          <w:tab w:val="left" w:pos="6399"/>
        </w:tabs>
        <w:spacing w:after="0"/>
      </w:pPr>
      <w:r>
        <w:t>Careful history</w:t>
      </w:r>
    </w:p>
    <w:p w:rsidR="00FF1CEE" w:rsidRDefault="00FF1CEE" w:rsidP="00FF1CEE">
      <w:pPr>
        <w:pStyle w:val="ListParagraph"/>
        <w:numPr>
          <w:ilvl w:val="0"/>
          <w:numId w:val="3"/>
        </w:numPr>
        <w:tabs>
          <w:tab w:val="left" w:pos="6399"/>
        </w:tabs>
        <w:spacing w:after="0"/>
      </w:pPr>
      <w:r>
        <w:t>Physical examination</w:t>
      </w:r>
    </w:p>
    <w:p w:rsidR="00FF1CEE" w:rsidRDefault="00FF1CEE" w:rsidP="00FF1CEE">
      <w:pPr>
        <w:pStyle w:val="ListParagraph"/>
        <w:numPr>
          <w:ilvl w:val="0"/>
          <w:numId w:val="3"/>
        </w:numPr>
        <w:tabs>
          <w:tab w:val="left" w:pos="6399"/>
        </w:tabs>
        <w:spacing w:after="0"/>
      </w:pPr>
      <w:r>
        <w:t>Twelve‐lead ECG</w:t>
      </w:r>
    </w:p>
    <w:p w:rsidR="00FF1CEE" w:rsidRDefault="00FF1CEE" w:rsidP="00FF1CEE">
      <w:pPr>
        <w:pStyle w:val="ListParagraph"/>
        <w:numPr>
          <w:ilvl w:val="0"/>
          <w:numId w:val="3"/>
        </w:numPr>
        <w:tabs>
          <w:tab w:val="left" w:pos="6399"/>
        </w:tabs>
        <w:spacing w:after="0"/>
      </w:pPr>
      <w:r>
        <w:t>Functional status assessment</w:t>
      </w:r>
    </w:p>
    <w:p w:rsidR="00FF1CEE" w:rsidRDefault="00FF1CEE" w:rsidP="00FF1CEE">
      <w:pPr>
        <w:pStyle w:val="ListParagraph"/>
        <w:numPr>
          <w:ilvl w:val="0"/>
          <w:numId w:val="3"/>
        </w:numPr>
        <w:tabs>
          <w:tab w:val="left" w:pos="6399"/>
        </w:tabs>
        <w:spacing w:after="0"/>
      </w:pPr>
      <w:r>
        <w:t>Nutrition assessment</w:t>
      </w:r>
    </w:p>
    <w:p w:rsidR="00FF1CEE" w:rsidRDefault="00FF1CEE" w:rsidP="00FF1CEE">
      <w:pPr>
        <w:pStyle w:val="ListParagraph"/>
        <w:numPr>
          <w:ilvl w:val="0"/>
          <w:numId w:val="3"/>
        </w:numPr>
        <w:tabs>
          <w:tab w:val="left" w:pos="6399"/>
        </w:tabs>
        <w:spacing w:after="0"/>
      </w:pPr>
      <w:r>
        <w:t>Preoperative preparation</w:t>
      </w:r>
    </w:p>
    <w:p w:rsidR="00FF1CEE" w:rsidRDefault="00FF1CEE" w:rsidP="00FF1CEE">
      <w:pPr>
        <w:pStyle w:val="ListParagraph"/>
        <w:numPr>
          <w:ilvl w:val="0"/>
          <w:numId w:val="3"/>
        </w:numPr>
        <w:tabs>
          <w:tab w:val="left" w:pos="6399"/>
        </w:tabs>
        <w:spacing w:after="0"/>
      </w:pPr>
      <w:r>
        <w:t>Effective control of co‐existing disease</w:t>
      </w:r>
    </w:p>
    <w:p w:rsidR="00FF1CEE" w:rsidRDefault="00FF1CEE" w:rsidP="00FF1CEE">
      <w:pPr>
        <w:pStyle w:val="ListParagraph"/>
        <w:numPr>
          <w:ilvl w:val="0"/>
          <w:numId w:val="3"/>
        </w:numPr>
        <w:tabs>
          <w:tab w:val="left" w:pos="6399"/>
        </w:tabs>
        <w:spacing w:after="0"/>
      </w:pPr>
      <w:r>
        <w:t>Stopped smoking for 8 weeks</w:t>
      </w:r>
    </w:p>
    <w:p w:rsidR="00FF1CEE" w:rsidRDefault="00FF1CEE" w:rsidP="00FF1CEE">
      <w:pPr>
        <w:pStyle w:val="ListParagraph"/>
        <w:numPr>
          <w:ilvl w:val="0"/>
          <w:numId w:val="3"/>
        </w:numPr>
        <w:tabs>
          <w:tab w:val="left" w:pos="6399"/>
        </w:tabs>
        <w:spacing w:after="0"/>
      </w:pPr>
      <w:r>
        <w:t>Training in cough and lung expansion techniques</w:t>
      </w:r>
    </w:p>
    <w:p w:rsidR="00FF1CEE" w:rsidRDefault="00FF1CEE" w:rsidP="00FF1CEE">
      <w:pPr>
        <w:pStyle w:val="ListParagraph"/>
        <w:numPr>
          <w:ilvl w:val="0"/>
          <w:numId w:val="3"/>
        </w:numPr>
        <w:tabs>
          <w:tab w:val="left" w:pos="6399"/>
        </w:tabs>
        <w:spacing w:after="0"/>
      </w:pPr>
      <w:r>
        <w:t>Chest physiotherapy for elderly at risk of postoperative pulmonary complications</w:t>
      </w:r>
    </w:p>
    <w:p w:rsidR="00FF1CEE" w:rsidRDefault="00FF1CEE" w:rsidP="00FF1CEE">
      <w:pPr>
        <w:pStyle w:val="ListParagraph"/>
        <w:numPr>
          <w:ilvl w:val="0"/>
          <w:numId w:val="3"/>
        </w:numPr>
        <w:tabs>
          <w:tab w:val="left" w:pos="6399"/>
        </w:tabs>
        <w:spacing w:after="0"/>
      </w:pPr>
      <w:r>
        <w:t>Correct of malnutrition</w:t>
      </w:r>
    </w:p>
    <w:p w:rsidR="00FF1CEE" w:rsidRDefault="00FF1CEE" w:rsidP="00FF1CEE">
      <w:pPr>
        <w:pStyle w:val="ListParagraph"/>
        <w:numPr>
          <w:ilvl w:val="0"/>
          <w:numId w:val="3"/>
        </w:numPr>
        <w:tabs>
          <w:tab w:val="left" w:pos="6399"/>
        </w:tabs>
        <w:spacing w:after="0"/>
      </w:pPr>
      <w:r>
        <w:t>Routine precautions for major surgery</w:t>
      </w:r>
    </w:p>
    <w:p w:rsidR="00FF1CEE" w:rsidRDefault="00FF1CEE" w:rsidP="00FF1CEE">
      <w:pPr>
        <w:pStyle w:val="ListParagraph"/>
        <w:numPr>
          <w:ilvl w:val="0"/>
          <w:numId w:val="3"/>
        </w:numPr>
        <w:tabs>
          <w:tab w:val="left" w:pos="6399"/>
        </w:tabs>
        <w:spacing w:after="0"/>
      </w:pPr>
      <w:r>
        <w:t>Temperature monitor and control</w:t>
      </w:r>
    </w:p>
    <w:p w:rsidR="00FF1CEE" w:rsidRDefault="00FF1CEE" w:rsidP="00FF1CEE">
      <w:pPr>
        <w:pStyle w:val="ListParagraph"/>
        <w:numPr>
          <w:ilvl w:val="0"/>
          <w:numId w:val="3"/>
        </w:numPr>
        <w:tabs>
          <w:tab w:val="left" w:pos="6399"/>
        </w:tabs>
        <w:spacing w:after="0"/>
      </w:pPr>
      <w:r>
        <w:t>Ripple mattress</w:t>
      </w:r>
    </w:p>
    <w:p w:rsidR="00FF1CEE" w:rsidRDefault="00FF1CEE" w:rsidP="00FF1CEE">
      <w:pPr>
        <w:pStyle w:val="ListParagraph"/>
        <w:numPr>
          <w:ilvl w:val="0"/>
          <w:numId w:val="3"/>
        </w:numPr>
        <w:tabs>
          <w:tab w:val="left" w:pos="6399"/>
        </w:tabs>
        <w:spacing w:after="0"/>
      </w:pPr>
      <w:r>
        <w:t>DVT prophylaxis</w:t>
      </w:r>
    </w:p>
    <w:p w:rsidR="00FF1CEE" w:rsidRDefault="00FF1CEE" w:rsidP="00FF1CEE">
      <w:pPr>
        <w:pStyle w:val="ListParagraph"/>
        <w:numPr>
          <w:ilvl w:val="0"/>
          <w:numId w:val="3"/>
        </w:numPr>
        <w:tabs>
          <w:tab w:val="left" w:pos="6399"/>
        </w:tabs>
        <w:spacing w:after="0"/>
      </w:pPr>
      <w:r>
        <w:t>Intra‐arterial pressure monitoring</w:t>
      </w:r>
    </w:p>
    <w:p w:rsidR="00FF1CEE" w:rsidRDefault="00FF1CEE" w:rsidP="00FF1CEE">
      <w:pPr>
        <w:pStyle w:val="ListParagraph"/>
        <w:numPr>
          <w:ilvl w:val="0"/>
          <w:numId w:val="3"/>
        </w:numPr>
        <w:tabs>
          <w:tab w:val="left" w:pos="6399"/>
        </w:tabs>
        <w:spacing w:after="0"/>
      </w:pPr>
      <w:r>
        <w:t xml:space="preserve">Ensure </w:t>
      </w:r>
      <w:proofErr w:type="spellStart"/>
      <w:r>
        <w:t>Haemodynamic</w:t>
      </w:r>
      <w:proofErr w:type="spellEnd"/>
      <w:r>
        <w:t xml:space="preserve"> stability</w:t>
      </w:r>
    </w:p>
    <w:p w:rsidR="00FF1CEE" w:rsidRDefault="00FF1CEE" w:rsidP="00FF1CEE">
      <w:pPr>
        <w:pStyle w:val="ListParagraph"/>
        <w:numPr>
          <w:ilvl w:val="0"/>
          <w:numId w:val="3"/>
        </w:numPr>
        <w:tabs>
          <w:tab w:val="left" w:pos="6399"/>
        </w:tabs>
        <w:spacing w:after="0"/>
      </w:pPr>
      <w:r>
        <w:t xml:space="preserve">Combination of </w:t>
      </w:r>
      <w:proofErr w:type="spellStart"/>
      <w:r>
        <w:t>anaesthetic</w:t>
      </w:r>
      <w:proofErr w:type="spellEnd"/>
      <w:r>
        <w:t xml:space="preserve"> and </w:t>
      </w:r>
      <w:proofErr w:type="spellStart"/>
      <w:r>
        <w:t>vasopressor</w:t>
      </w:r>
      <w:proofErr w:type="spellEnd"/>
      <w:r>
        <w:t>, beta‐blockers or vasodilators</w:t>
      </w:r>
    </w:p>
    <w:p w:rsidR="00FF1CEE" w:rsidRDefault="00FF1CEE" w:rsidP="00FF1CEE">
      <w:pPr>
        <w:pStyle w:val="ListParagraph"/>
        <w:numPr>
          <w:ilvl w:val="0"/>
          <w:numId w:val="3"/>
        </w:numPr>
        <w:tabs>
          <w:tab w:val="left" w:pos="6399"/>
        </w:tabs>
        <w:spacing w:after="0"/>
      </w:pPr>
      <w:r>
        <w:t>Avoid fluid overload</w:t>
      </w:r>
    </w:p>
    <w:p w:rsidR="00FF1CEE" w:rsidRDefault="00FF1CEE" w:rsidP="00FF1CEE">
      <w:pPr>
        <w:pStyle w:val="ListParagraph"/>
        <w:numPr>
          <w:ilvl w:val="0"/>
          <w:numId w:val="3"/>
        </w:numPr>
        <w:tabs>
          <w:tab w:val="left" w:pos="6399"/>
        </w:tabs>
        <w:spacing w:after="0"/>
      </w:pPr>
      <w:r>
        <w:t xml:space="preserve">Quick recovery from </w:t>
      </w:r>
      <w:proofErr w:type="spellStart"/>
      <w:r>
        <w:t>anaesthesia</w:t>
      </w:r>
      <w:proofErr w:type="spellEnd"/>
    </w:p>
    <w:p w:rsidR="00FF1CEE" w:rsidRDefault="00FF1CEE" w:rsidP="00FF1CEE">
      <w:pPr>
        <w:pStyle w:val="ListParagraph"/>
        <w:numPr>
          <w:ilvl w:val="0"/>
          <w:numId w:val="3"/>
        </w:numPr>
        <w:tabs>
          <w:tab w:val="left" w:pos="6399"/>
        </w:tabs>
        <w:spacing w:after="0"/>
      </w:pPr>
      <w:r>
        <w:t xml:space="preserve">Use short‐acting </w:t>
      </w:r>
      <w:proofErr w:type="spellStart"/>
      <w:r>
        <w:t>anaesthetic</w:t>
      </w:r>
      <w:proofErr w:type="spellEnd"/>
      <w:r>
        <w:t xml:space="preserve"> agents</w:t>
      </w:r>
    </w:p>
    <w:p w:rsidR="00FF1CEE" w:rsidRDefault="00FF1CEE" w:rsidP="00FF1CEE">
      <w:pPr>
        <w:pStyle w:val="ListParagraph"/>
        <w:numPr>
          <w:ilvl w:val="0"/>
          <w:numId w:val="3"/>
        </w:numPr>
        <w:tabs>
          <w:tab w:val="left" w:pos="6399"/>
        </w:tabs>
        <w:spacing w:after="0"/>
      </w:pPr>
      <w:r>
        <w:t xml:space="preserve">Combine epidural </w:t>
      </w:r>
      <w:proofErr w:type="spellStart"/>
      <w:r>
        <w:t>anaesthesia</w:t>
      </w:r>
      <w:proofErr w:type="spellEnd"/>
      <w:r>
        <w:t xml:space="preserve"> and GA for major abdominal and thoracic surgery</w:t>
      </w:r>
    </w:p>
    <w:p w:rsidR="00FF1CEE" w:rsidRDefault="00FF1CEE" w:rsidP="00FF1CEE">
      <w:pPr>
        <w:pStyle w:val="ListParagraph"/>
        <w:numPr>
          <w:ilvl w:val="0"/>
          <w:numId w:val="3"/>
        </w:numPr>
        <w:tabs>
          <w:tab w:val="left" w:pos="6399"/>
        </w:tabs>
        <w:spacing w:after="0"/>
      </w:pPr>
      <w:r>
        <w:t>Antagonize neuromuscular blocking drugs</w:t>
      </w:r>
    </w:p>
    <w:p w:rsidR="00FF1CEE" w:rsidRDefault="00FF1CEE" w:rsidP="00FF1CEE">
      <w:pPr>
        <w:pStyle w:val="ListParagraph"/>
        <w:numPr>
          <w:ilvl w:val="0"/>
          <w:numId w:val="3"/>
        </w:numPr>
        <w:tabs>
          <w:tab w:val="left" w:pos="6399"/>
        </w:tabs>
        <w:spacing w:after="0"/>
      </w:pPr>
      <w:r>
        <w:t xml:space="preserve">Prevent </w:t>
      </w:r>
      <w:proofErr w:type="spellStart"/>
      <w:r>
        <w:t>hypoxaemia</w:t>
      </w:r>
      <w:proofErr w:type="spellEnd"/>
      <w:r>
        <w:t xml:space="preserve"> - </w:t>
      </w:r>
      <w:r>
        <w:t>Supplemental oxygen, reversal of neuromuscular blocking drugs</w:t>
      </w:r>
    </w:p>
    <w:p w:rsidR="00FF1CEE" w:rsidRDefault="00FF1CEE" w:rsidP="00FF1CEE">
      <w:pPr>
        <w:pStyle w:val="ListParagraph"/>
        <w:numPr>
          <w:ilvl w:val="0"/>
          <w:numId w:val="3"/>
        </w:numPr>
        <w:tabs>
          <w:tab w:val="left" w:pos="6399"/>
        </w:tabs>
        <w:spacing w:after="0"/>
      </w:pPr>
      <w:r>
        <w:lastRenderedPageBreak/>
        <w:t>Prevent hypothermia</w:t>
      </w:r>
      <w:r>
        <w:t xml:space="preserve"> - </w:t>
      </w:r>
      <w:r>
        <w:t xml:space="preserve">Keep warm </w:t>
      </w:r>
      <w:proofErr w:type="spellStart"/>
      <w:r>
        <w:t>perioperatively</w:t>
      </w:r>
      <w:proofErr w:type="spellEnd"/>
    </w:p>
    <w:p w:rsidR="00B05CAB" w:rsidRDefault="00FF1CEE" w:rsidP="00FF1CEE">
      <w:pPr>
        <w:pStyle w:val="ListParagraph"/>
        <w:numPr>
          <w:ilvl w:val="0"/>
          <w:numId w:val="3"/>
        </w:numPr>
        <w:tabs>
          <w:tab w:val="left" w:pos="6399"/>
        </w:tabs>
        <w:spacing w:after="0"/>
      </w:pPr>
      <w:r>
        <w:t>Effective postoperative pain control</w:t>
      </w:r>
      <w:r>
        <w:t xml:space="preserve">- </w:t>
      </w:r>
      <w:r>
        <w:t>Multimodal analgesia</w:t>
      </w:r>
    </w:p>
    <w:p w:rsidR="00273D19" w:rsidRDefault="00273D19" w:rsidP="00210B99">
      <w:pPr>
        <w:tabs>
          <w:tab w:val="left" w:pos="6399"/>
        </w:tabs>
      </w:pPr>
    </w:p>
    <w:p w:rsidR="00273D19" w:rsidRDefault="00FF1CEE" w:rsidP="00210B99">
      <w:pPr>
        <w:tabs>
          <w:tab w:val="left" w:pos="6399"/>
        </w:tabs>
      </w:pPr>
      <w:r>
        <w:t>Summary:</w:t>
      </w:r>
    </w:p>
    <w:p w:rsidR="00FF1CEE" w:rsidRDefault="00FF1CEE" w:rsidP="00210B99">
      <w:pPr>
        <w:tabs>
          <w:tab w:val="left" w:pos="6399"/>
        </w:tabs>
      </w:pPr>
      <w:r w:rsidRPr="00FF1CEE">
        <w:t xml:space="preserve">There is an opportunity for developed nations and referral hospitals in developing countries to take a lead in reporting </w:t>
      </w:r>
      <w:proofErr w:type="spellStart"/>
      <w:r w:rsidRPr="00FF1CEE">
        <w:t>perioperative</w:t>
      </w:r>
      <w:proofErr w:type="spellEnd"/>
      <w:r w:rsidRPr="00FF1CEE">
        <w:t xml:space="preserve"> mortality. </w:t>
      </w:r>
      <w:r>
        <w:t>This may not</w:t>
      </w:r>
      <w:r w:rsidRPr="00FF1CEE">
        <w:t xml:space="preserve"> involve </w:t>
      </w:r>
      <w:proofErr w:type="spellStart"/>
      <w:r w:rsidRPr="00FF1CEE">
        <w:t>signiﬁcant</w:t>
      </w:r>
      <w:proofErr w:type="spellEnd"/>
      <w:r w:rsidRPr="00FF1CEE">
        <w:t xml:space="preserve"> resources as the information is already being collected in some form in most hospitals. Ministries of Health will need to mandate that all hospitals report this information. Collecting and reporting POMR will impact only surgical and </w:t>
      </w:r>
      <w:proofErr w:type="spellStart"/>
      <w:r w:rsidRPr="00FF1CEE">
        <w:t>anaesthesia</w:t>
      </w:r>
      <w:proofErr w:type="spellEnd"/>
      <w:r w:rsidRPr="00FF1CEE">
        <w:t xml:space="preserve"> outcomes when reporting is mandatory and benchmarking is put into place for measuring the impact of interventions made within a surgical system.</w:t>
      </w:r>
    </w:p>
    <w:p w:rsidR="00273D19" w:rsidRDefault="00FF1CEE" w:rsidP="00210B99">
      <w:pPr>
        <w:tabs>
          <w:tab w:val="left" w:pos="6399"/>
        </w:tabs>
      </w:pPr>
      <w:r w:rsidRPr="00FF1CEE">
        <w:t xml:space="preserve">Eventually, of course, the POMR analysis will not result in improvements in the standards of </w:t>
      </w:r>
      <w:proofErr w:type="spellStart"/>
      <w:r w:rsidRPr="00FF1CEE">
        <w:t>anaesthesia</w:t>
      </w:r>
      <w:proofErr w:type="spellEnd"/>
      <w:r w:rsidRPr="00FF1CEE">
        <w:t xml:space="preserve"> and surgery unless review of individual cases takes place</w:t>
      </w:r>
      <w:r>
        <w:t xml:space="preserve"> and changes adopted in their area of practice. </w:t>
      </w:r>
    </w:p>
    <w:p w:rsidR="00273D19" w:rsidRDefault="00FF1CEE" w:rsidP="00210B99">
      <w:pPr>
        <w:tabs>
          <w:tab w:val="left" w:pos="6399"/>
        </w:tabs>
      </w:pPr>
      <w:r w:rsidRPr="00FF1CEE">
        <w:t xml:space="preserve">Safe surgery and </w:t>
      </w:r>
      <w:proofErr w:type="spellStart"/>
      <w:r w:rsidRPr="00FF1CEE">
        <w:t>anaesthesia</w:t>
      </w:r>
      <w:proofErr w:type="spellEnd"/>
      <w:r w:rsidRPr="00FF1CEE">
        <w:t xml:space="preserve"> are not unaffordable luxuries reserved only for the health systems of high-income countries. They should be seen as an essential component within the Sustainable Development Goal of Universal</w:t>
      </w:r>
      <w:r w:rsidR="00E63B24">
        <w:t xml:space="preserve"> </w:t>
      </w:r>
      <w:r w:rsidR="00E63B24" w:rsidRPr="00E63B24">
        <w:t xml:space="preserve">Health Coverage. Everyone deserves them and their lack represents a </w:t>
      </w:r>
      <w:proofErr w:type="spellStart"/>
      <w:r w:rsidR="00E63B24" w:rsidRPr="00E63B24">
        <w:t>signiﬁcant</w:t>
      </w:r>
      <w:proofErr w:type="spellEnd"/>
      <w:r w:rsidR="00E63B24" w:rsidRPr="00E63B24">
        <w:t xml:space="preserve"> cost in terms of life and disability to the communities that cannot access them</w:t>
      </w:r>
      <w:r w:rsidR="00E63B24">
        <w:t xml:space="preserve">. </w:t>
      </w:r>
    </w:p>
    <w:p w:rsidR="00273D19" w:rsidRDefault="00E63B24" w:rsidP="00210B99">
      <w:pPr>
        <w:tabs>
          <w:tab w:val="left" w:pos="6399"/>
        </w:tabs>
      </w:pPr>
      <w:r>
        <w:t xml:space="preserve">References: </w:t>
      </w:r>
    </w:p>
    <w:p w:rsidR="004F2237" w:rsidRDefault="004F2237" w:rsidP="004F2237">
      <w:pPr>
        <w:pStyle w:val="ListParagraph"/>
        <w:numPr>
          <w:ilvl w:val="0"/>
          <w:numId w:val="2"/>
        </w:numPr>
        <w:tabs>
          <w:tab w:val="left" w:pos="6399"/>
        </w:tabs>
      </w:pPr>
      <w:proofErr w:type="spellStart"/>
      <w:r>
        <w:t>Perioperative</w:t>
      </w:r>
      <w:proofErr w:type="spellEnd"/>
      <w:r>
        <w:t xml:space="preserve"> mortality rate, A global indicator of access to safe surgery and </w:t>
      </w:r>
      <w:proofErr w:type="spellStart"/>
      <w:r>
        <w:t>anaesthesia</w:t>
      </w:r>
      <w:proofErr w:type="spellEnd"/>
      <w:r>
        <w:t>; World Journal of  Surgery, 2638-4, 2014</w:t>
      </w:r>
    </w:p>
    <w:p w:rsidR="00273D19" w:rsidRDefault="00273D19" w:rsidP="00210B99">
      <w:pPr>
        <w:tabs>
          <w:tab w:val="left" w:pos="6399"/>
        </w:tabs>
      </w:pPr>
    </w:p>
    <w:p w:rsidR="00273D19" w:rsidRDefault="00273D19" w:rsidP="00210B99">
      <w:pPr>
        <w:tabs>
          <w:tab w:val="left" w:pos="6399"/>
        </w:tabs>
      </w:pPr>
    </w:p>
    <w:p w:rsidR="00273D19" w:rsidRDefault="00273D19" w:rsidP="00273D19">
      <w:pPr>
        <w:tabs>
          <w:tab w:val="left" w:pos="6399"/>
        </w:tabs>
      </w:pPr>
      <w:proofErr w:type="gramStart"/>
      <w:r>
        <w:t xml:space="preserve">2. </w:t>
      </w:r>
      <w:proofErr w:type="spellStart"/>
      <w:r>
        <w:t>Ther</w:t>
      </w:r>
      <w:proofErr w:type="spellEnd"/>
      <w:r>
        <w:t xml:space="preserve"> </w:t>
      </w:r>
      <w:proofErr w:type="spellStart"/>
      <w:r>
        <w:t>Clin</w:t>
      </w:r>
      <w:proofErr w:type="spellEnd"/>
      <w:r>
        <w:t xml:space="preserve"> Risk </w:t>
      </w:r>
      <w:proofErr w:type="spellStart"/>
      <w:r>
        <w:t>Manag</w:t>
      </w:r>
      <w:proofErr w:type="spellEnd"/>
      <w:r>
        <w:t>.</w:t>
      </w:r>
      <w:proofErr w:type="gramEnd"/>
      <w:r>
        <w:t xml:space="preserve"> 2008 Aug; 4(4): 681–688.</w:t>
      </w:r>
    </w:p>
    <w:p w:rsidR="00273D19" w:rsidRDefault="00273D19" w:rsidP="00273D19">
      <w:pPr>
        <w:tabs>
          <w:tab w:val="left" w:pos="6399"/>
        </w:tabs>
      </w:pPr>
      <w:r>
        <w:t>Postoperative mortality after inpatient surgery: Incidence and risk factors</w:t>
      </w:r>
      <w:proofErr w:type="gramStart"/>
      <w:r>
        <w:t xml:space="preserve">;  </w:t>
      </w:r>
      <w:proofErr w:type="spellStart"/>
      <w:r>
        <w:t>K</w:t>
      </w:r>
      <w:r w:rsidR="00E1540A">
        <w:t>aramarie</w:t>
      </w:r>
      <w:proofErr w:type="spellEnd"/>
      <w:proofErr w:type="gramEnd"/>
      <w:r w:rsidR="00E1540A">
        <w:t xml:space="preserve"> </w:t>
      </w:r>
      <w:proofErr w:type="spellStart"/>
      <w:r w:rsidR="00E1540A">
        <w:t>Fecho</w:t>
      </w:r>
      <w:proofErr w:type="spellEnd"/>
      <w:r w:rsidR="00E1540A">
        <w:t xml:space="preserve">, Anne T </w:t>
      </w:r>
      <w:proofErr w:type="spellStart"/>
      <w:r w:rsidR="00E1540A">
        <w:t>Lunney</w:t>
      </w:r>
      <w:proofErr w:type="spellEnd"/>
      <w:r w:rsidR="00E1540A">
        <w:t>,</w:t>
      </w:r>
      <w:r>
        <w:t xml:space="preserve"> Philip G </w:t>
      </w:r>
      <w:proofErr w:type="spellStart"/>
      <w:r>
        <w:t>Boyse</w:t>
      </w:r>
      <w:r w:rsidR="00E1540A">
        <w:t>n</w:t>
      </w:r>
      <w:proofErr w:type="spellEnd"/>
      <w:r w:rsidR="00E1540A">
        <w:t>,</w:t>
      </w:r>
      <w:r>
        <w:t xml:space="preserve"> Pet</w:t>
      </w:r>
      <w:r w:rsidR="00E1540A">
        <w:t xml:space="preserve">er Rock, and Edward A </w:t>
      </w:r>
      <w:proofErr w:type="spellStart"/>
      <w:r w:rsidR="00E1540A">
        <w:t>Norfleet</w:t>
      </w:r>
      <w:proofErr w:type="spellEnd"/>
    </w:p>
    <w:p w:rsidR="00273D19" w:rsidRDefault="00273D19" w:rsidP="00273D19">
      <w:pPr>
        <w:tabs>
          <w:tab w:val="left" w:pos="6399"/>
        </w:tabs>
      </w:pPr>
    </w:p>
    <w:p w:rsidR="00273D19" w:rsidRDefault="00273D19" w:rsidP="00273D19">
      <w:pPr>
        <w:tabs>
          <w:tab w:val="left" w:pos="6399"/>
        </w:tabs>
      </w:pPr>
      <w:r>
        <w:t xml:space="preserve">3. </w:t>
      </w:r>
      <w:r>
        <w:t>Ann Surg. 2013 Oct; 258(4): 614–618.</w:t>
      </w:r>
    </w:p>
    <w:p w:rsidR="00273D19" w:rsidRDefault="00273D19" w:rsidP="00273D19">
      <w:pPr>
        <w:tabs>
          <w:tab w:val="left" w:pos="6399"/>
        </w:tabs>
      </w:pPr>
      <w:r>
        <w:t>Improving Mortality Following Emergency Surgery in Older Patients Requir</w:t>
      </w:r>
      <w:r>
        <w:t xml:space="preserve">es Focus on Complication Rescue; </w:t>
      </w:r>
      <w:r w:rsidR="00E1540A">
        <w:t xml:space="preserve">  </w:t>
      </w:r>
      <w:r>
        <w:t xml:space="preserve">Kyle H. </w:t>
      </w:r>
      <w:proofErr w:type="spellStart"/>
      <w:r>
        <w:t>Sheetz</w:t>
      </w:r>
      <w:proofErr w:type="spellEnd"/>
      <w:r>
        <w:t xml:space="preserve">, Seth A. Waits, Robert W. </w:t>
      </w:r>
      <w:proofErr w:type="spellStart"/>
      <w:r>
        <w:t>Krell</w:t>
      </w:r>
      <w:proofErr w:type="spellEnd"/>
      <w:r>
        <w:t xml:space="preserve">, Darrell A. Campbell, Jr., Michael J. </w:t>
      </w:r>
      <w:proofErr w:type="spellStart"/>
      <w:r>
        <w:t>Englesbe</w:t>
      </w:r>
      <w:proofErr w:type="spellEnd"/>
      <w:r>
        <w:t xml:space="preserve">, and Amir A. </w:t>
      </w:r>
      <w:proofErr w:type="spellStart"/>
      <w:r>
        <w:t>Ghaferi</w:t>
      </w:r>
      <w:proofErr w:type="spellEnd"/>
    </w:p>
    <w:p w:rsidR="00E1540A" w:rsidRDefault="00E1540A" w:rsidP="00E1540A">
      <w:pPr>
        <w:tabs>
          <w:tab w:val="left" w:pos="6399"/>
        </w:tabs>
      </w:pPr>
      <w:r>
        <w:t xml:space="preserve">4. </w:t>
      </w:r>
      <w:r>
        <w:t>Can J Surg. 2015 Oct</w:t>
      </w:r>
      <w:proofErr w:type="gramStart"/>
      <w:r>
        <w:t>;58</w:t>
      </w:r>
      <w:proofErr w:type="gramEnd"/>
      <w:r>
        <w:t>(5):312-7.</w:t>
      </w:r>
    </w:p>
    <w:p w:rsidR="00CF500E" w:rsidRDefault="00E1540A" w:rsidP="00E1540A">
      <w:pPr>
        <w:tabs>
          <w:tab w:val="left" w:pos="6399"/>
        </w:tabs>
      </w:pPr>
      <w:proofErr w:type="spellStart"/>
      <w:r>
        <w:t>Perioperative</w:t>
      </w:r>
      <w:proofErr w:type="spellEnd"/>
      <w:r>
        <w:t xml:space="preserve"> factors predicting poor outcome in elderly patients following emergency general surgery: a mu</w:t>
      </w:r>
      <w:r>
        <w:t xml:space="preserve">ltivariate regression analysis. Lees, </w:t>
      </w:r>
      <w:proofErr w:type="spellStart"/>
      <w:proofErr w:type="gramStart"/>
      <w:r>
        <w:t>Merani</w:t>
      </w:r>
      <w:proofErr w:type="spellEnd"/>
      <w:r>
        <w:t xml:space="preserve"> ,</w:t>
      </w:r>
      <w:proofErr w:type="gramEnd"/>
      <w:r>
        <w:t xml:space="preserve"> </w:t>
      </w:r>
      <w:proofErr w:type="spellStart"/>
      <w:r>
        <w:t>Tauh</w:t>
      </w:r>
      <w:proofErr w:type="spellEnd"/>
      <w:r>
        <w:t xml:space="preserve"> , </w:t>
      </w:r>
      <w:proofErr w:type="spellStart"/>
      <w:r>
        <w:t>Khadaroo</w:t>
      </w:r>
      <w:proofErr w:type="spellEnd"/>
      <w:r w:rsidR="00CF500E">
        <w:tab/>
      </w:r>
      <w:r w:rsidR="00CF500E">
        <w:tab/>
      </w:r>
    </w:p>
    <w:p w:rsidR="00210B99" w:rsidRDefault="004F2237" w:rsidP="00210B99">
      <w:pPr>
        <w:tabs>
          <w:tab w:val="left" w:pos="6399"/>
        </w:tabs>
      </w:pPr>
      <w:r>
        <w:lastRenderedPageBreak/>
        <w:t xml:space="preserve">5. </w:t>
      </w:r>
      <w:r w:rsidRPr="004F2237">
        <w:t xml:space="preserve">Clinical risk scores to guide </w:t>
      </w:r>
      <w:proofErr w:type="spellStart"/>
      <w:r w:rsidRPr="004F2237">
        <w:t>periopera</w:t>
      </w:r>
      <w:r>
        <w:t>tive</w:t>
      </w:r>
      <w:proofErr w:type="spellEnd"/>
      <w:r>
        <w:t xml:space="preserve"> management; Sarah Barnett, </w:t>
      </w:r>
      <w:proofErr w:type="spellStart"/>
      <w:r w:rsidRPr="004F2237">
        <w:t>Suneetha</w:t>
      </w:r>
      <w:proofErr w:type="spellEnd"/>
      <w:r w:rsidRPr="004F2237">
        <w:t xml:space="preserve"> </w:t>
      </w:r>
      <w:proofErr w:type="spellStart"/>
      <w:r w:rsidRPr="004F2237">
        <w:t>Ramani</w:t>
      </w:r>
      <w:proofErr w:type="spellEnd"/>
      <w:r w:rsidRPr="004F2237">
        <w:t xml:space="preserve"> </w:t>
      </w:r>
      <w:proofErr w:type="spellStart"/>
      <w:r w:rsidRPr="004F2237">
        <w:t>Moonesinghe</w:t>
      </w:r>
      <w:proofErr w:type="spellEnd"/>
      <w:r>
        <w:t xml:space="preserve">; </w:t>
      </w:r>
      <w:proofErr w:type="spellStart"/>
      <w:r w:rsidRPr="004F2237">
        <w:t>Postgrad</w:t>
      </w:r>
      <w:proofErr w:type="spellEnd"/>
      <w:r w:rsidRPr="004F2237">
        <w:t xml:space="preserve"> Med J 2011</w:t>
      </w:r>
      <w:proofErr w:type="gramStart"/>
      <w:r w:rsidRPr="004F2237">
        <w:t>;87:535e541</w:t>
      </w:r>
      <w:proofErr w:type="gramEnd"/>
      <w:r w:rsidRPr="004F2237">
        <w:t>. doi:10.1136/pgmj.2010.107169</w:t>
      </w:r>
    </w:p>
    <w:p w:rsidR="00A92F21" w:rsidRPr="00210B99" w:rsidRDefault="00A92F21" w:rsidP="00210B99">
      <w:pPr>
        <w:tabs>
          <w:tab w:val="left" w:pos="6399"/>
        </w:tabs>
      </w:pPr>
      <w:r>
        <w:t xml:space="preserve">6. British Journal of </w:t>
      </w:r>
      <w:proofErr w:type="spellStart"/>
      <w:r>
        <w:t>Anaesthesia</w:t>
      </w:r>
      <w:proofErr w:type="spellEnd"/>
      <w:r>
        <w:t xml:space="preserve"> Page 1 of 11 doi:10.1093/</w:t>
      </w:r>
      <w:proofErr w:type="spellStart"/>
      <w:r>
        <w:t>bja</w:t>
      </w:r>
      <w:proofErr w:type="spellEnd"/>
      <w:r>
        <w:t xml:space="preserve">/aet487;2013;   Mortality and postoperative care pathways after emergency gastrointestinal surgery in 2904 patients: a population-based cohort study; M. </w:t>
      </w:r>
      <w:proofErr w:type="spellStart"/>
      <w:r>
        <w:t>Vester</w:t>
      </w:r>
      <w:proofErr w:type="spellEnd"/>
      <w:r>
        <w:t xml:space="preserve">-Andersen, L. H. </w:t>
      </w:r>
      <w:proofErr w:type="spellStart"/>
      <w:r>
        <w:t>Lundstrom</w:t>
      </w:r>
      <w:proofErr w:type="spellEnd"/>
      <w:r>
        <w:t xml:space="preserve">, M. H. </w:t>
      </w:r>
      <w:proofErr w:type="spellStart"/>
      <w:r>
        <w:t>Møller</w:t>
      </w:r>
      <w:proofErr w:type="spellEnd"/>
      <w:r>
        <w:t xml:space="preserve">, T. </w:t>
      </w:r>
      <w:proofErr w:type="spellStart"/>
      <w:r>
        <w:t>Waldau</w:t>
      </w:r>
      <w:proofErr w:type="spellEnd"/>
      <w:r>
        <w:t xml:space="preserve">, J. Rosenberg, A. M. </w:t>
      </w:r>
      <w:proofErr w:type="spellStart"/>
      <w:r>
        <w:t>Møller</w:t>
      </w:r>
      <w:proofErr w:type="spellEnd"/>
    </w:p>
    <w:sectPr w:rsidR="00A92F21" w:rsidRPr="00210B99" w:rsidSect="00D52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5A09"/>
    <w:multiLevelType w:val="hybridMultilevel"/>
    <w:tmpl w:val="C652D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A1959"/>
    <w:multiLevelType w:val="hybridMultilevel"/>
    <w:tmpl w:val="5DA0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D49DD"/>
    <w:multiLevelType w:val="hybridMultilevel"/>
    <w:tmpl w:val="B39863CE"/>
    <w:lvl w:ilvl="0" w:tplc="0409000B">
      <w:start w:val="1"/>
      <w:numFmt w:val="bullet"/>
      <w:lvlText w:val=""/>
      <w:lvlJc w:val="left"/>
      <w:pPr>
        <w:ind w:left="858" w:hanging="360"/>
      </w:pPr>
      <w:rPr>
        <w:rFonts w:ascii="Wingdings" w:hAnsi="Wingdings" w:hint="default"/>
      </w:rPr>
    </w:lvl>
    <w:lvl w:ilvl="1" w:tplc="04090003">
      <w:start w:val="1"/>
      <w:numFmt w:val="bullet"/>
      <w:lvlText w:val="o"/>
      <w:lvlJc w:val="left"/>
      <w:pPr>
        <w:ind w:left="1578" w:hanging="360"/>
      </w:pPr>
      <w:rPr>
        <w:rFonts w:ascii="Courier New" w:hAnsi="Courier New" w:cs="Courier New" w:hint="default"/>
      </w:rPr>
    </w:lvl>
    <w:lvl w:ilvl="2" w:tplc="04090005">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D32226"/>
    <w:rsid w:val="000C320C"/>
    <w:rsid w:val="001D75E0"/>
    <w:rsid w:val="00210B99"/>
    <w:rsid w:val="00273D19"/>
    <w:rsid w:val="002F0849"/>
    <w:rsid w:val="003B3AA3"/>
    <w:rsid w:val="004F2237"/>
    <w:rsid w:val="005E5F29"/>
    <w:rsid w:val="006A5B38"/>
    <w:rsid w:val="006E0D07"/>
    <w:rsid w:val="007A4B03"/>
    <w:rsid w:val="007E0F8C"/>
    <w:rsid w:val="00816330"/>
    <w:rsid w:val="00A92F21"/>
    <w:rsid w:val="00B05CAB"/>
    <w:rsid w:val="00B916AB"/>
    <w:rsid w:val="00BF6BD7"/>
    <w:rsid w:val="00C54BE8"/>
    <w:rsid w:val="00CF500E"/>
    <w:rsid w:val="00D31F2B"/>
    <w:rsid w:val="00D32226"/>
    <w:rsid w:val="00D5240E"/>
    <w:rsid w:val="00E1540A"/>
    <w:rsid w:val="00E63B24"/>
    <w:rsid w:val="00E915A0"/>
    <w:rsid w:val="00FA2297"/>
    <w:rsid w:val="00FB4935"/>
    <w:rsid w:val="00FF1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0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0E"/>
    <w:pPr>
      <w:ind w:left="720"/>
      <w:contextualSpacing/>
    </w:pPr>
  </w:style>
</w:styles>
</file>

<file path=word/webSettings.xml><?xml version="1.0" encoding="utf-8"?>
<w:webSettings xmlns:r="http://schemas.openxmlformats.org/officeDocument/2006/relationships" xmlns:w="http://schemas.openxmlformats.org/wordprocessingml/2006/main">
  <w:divs>
    <w:div w:id="145443748">
      <w:bodyDiv w:val="1"/>
      <w:marLeft w:val="0"/>
      <w:marRight w:val="0"/>
      <w:marTop w:val="0"/>
      <w:marBottom w:val="0"/>
      <w:divBdr>
        <w:top w:val="none" w:sz="0" w:space="0" w:color="auto"/>
        <w:left w:val="none" w:sz="0" w:space="0" w:color="auto"/>
        <w:bottom w:val="none" w:sz="0" w:space="0" w:color="auto"/>
        <w:right w:val="none" w:sz="0" w:space="0" w:color="auto"/>
      </w:divBdr>
      <w:divsChild>
        <w:div w:id="1925603577">
          <w:marLeft w:val="0"/>
          <w:marRight w:val="0"/>
          <w:marTop w:val="0"/>
          <w:marBottom w:val="166"/>
          <w:divBdr>
            <w:top w:val="none" w:sz="0" w:space="0" w:color="auto"/>
            <w:left w:val="none" w:sz="0" w:space="0" w:color="auto"/>
            <w:bottom w:val="none" w:sz="0" w:space="0" w:color="auto"/>
            <w:right w:val="none" w:sz="0" w:space="0" w:color="auto"/>
          </w:divBdr>
          <w:divsChild>
            <w:div w:id="994603526">
              <w:marLeft w:val="0"/>
              <w:marRight w:val="0"/>
              <w:marTop w:val="0"/>
              <w:marBottom w:val="0"/>
              <w:divBdr>
                <w:top w:val="none" w:sz="0" w:space="0" w:color="auto"/>
                <w:left w:val="none" w:sz="0" w:space="0" w:color="auto"/>
                <w:bottom w:val="none" w:sz="0" w:space="0" w:color="auto"/>
                <w:right w:val="none" w:sz="0" w:space="0" w:color="auto"/>
              </w:divBdr>
              <w:divsChild>
                <w:div w:id="733966090">
                  <w:marLeft w:val="0"/>
                  <w:marRight w:val="0"/>
                  <w:marTop w:val="0"/>
                  <w:marBottom w:val="0"/>
                  <w:divBdr>
                    <w:top w:val="none" w:sz="0" w:space="0" w:color="auto"/>
                    <w:left w:val="none" w:sz="0" w:space="0" w:color="auto"/>
                    <w:bottom w:val="none" w:sz="0" w:space="0" w:color="auto"/>
                    <w:right w:val="none" w:sz="0" w:space="0" w:color="auto"/>
                  </w:divBdr>
                  <w:divsChild>
                    <w:div w:id="1330015878">
                      <w:marLeft w:val="0"/>
                      <w:marRight w:val="0"/>
                      <w:marTop w:val="0"/>
                      <w:marBottom w:val="0"/>
                      <w:divBdr>
                        <w:top w:val="none" w:sz="0" w:space="0" w:color="auto"/>
                        <w:left w:val="none" w:sz="0" w:space="0" w:color="auto"/>
                        <w:bottom w:val="none" w:sz="0" w:space="0" w:color="auto"/>
                        <w:right w:val="none" w:sz="0" w:space="0" w:color="auto"/>
                      </w:divBdr>
                      <w:divsChild>
                        <w:div w:id="139268057">
                          <w:marLeft w:val="0"/>
                          <w:marRight w:val="0"/>
                          <w:marTop w:val="0"/>
                          <w:marBottom w:val="0"/>
                          <w:divBdr>
                            <w:top w:val="none" w:sz="0" w:space="0" w:color="auto"/>
                            <w:left w:val="none" w:sz="0" w:space="0" w:color="auto"/>
                            <w:bottom w:val="none" w:sz="0" w:space="0" w:color="auto"/>
                            <w:right w:val="none" w:sz="0" w:space="0" w:color="auto"/>
                          </w:divBdr>
                        </w:div>
                        <w:div w:id="21258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9979">
                  <w:marLeft w:val="0"/>
                  <w:marRight w:val="0"/>
                  <w:marTop w:val="0"/>
                  <w:marBottom w:val="0"/>
                  <w:divBdr>
                    <w:top w:val="none" w:sz="0" w:space="0" w:color="auto"/>
                    <w:left w:val="none" w:sz="0" w:space="0" w:color="auto"/>
                    <w:bottom w:val="none" w:sz="0" w:space="0" w:color="auto"/>
                    <w:right w:val="none" w:sz="0" w:space="0" w:color="auto"/>
                  </w:divBdr>
                  <w:divsChild>
                    <w:div w:id="2451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2376">
          <w:marLeft w:val="0"/>
          <w:marRight w:val="0"/>
          <w:marTop w:val="166"/>
          <w:marBottom w:val="166"/>
          <w:divBdr>
            <w:top w:val="none" w:sz="0" w:space="0" w:color="auto"/>
            <w:left w:val="none" w:sz="0" w:space="0" w:color="auto"/>
            <w:bottom w:val="none" w:sz="0" w:space="0" w:color="auto"/>
            <w:right w:val="none" w:sz="0" w:space="0" w:color="auto"/>
          </w:divBdr>
          <w:divsChild>
            <w:div w:id="17058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2791">
      <w:bodyDiv w:val="1"/>
      <w:marLeft w:val="0"/>
      <w:marRight w:val="0"/>
      <w:marTop w:val="0"/>
      <w:marBottom w:val="0"/>
      <w:divBdr>
        <w:top w:val="none" w:sz="0" w:space="0" w:color="auto"/>
        <w:left w:val="none" w:sz="0" w:space="0" w:color="auto"/>
        <w:bottom w:val="none" w:sz="0" w:space="0" w:color="auto"/>
        <w:right w:val="none" w:sz="0" w:space="0" w:color="auto"/>
      </w:divBdr>
      <w:divsChild>
        <w:div w:id="1206408431">
          <w:marLeft w:val="0"/>
          <w:marRight w:val="0"/>
          <w:marTop w:val="0"/>
          <w:marBottom w:val="166"/>
          <w:divBdr>
            <w:top w:val="none" w:sz="0" w:space="0" w:color="auto"/>
            <w:left w:val="none" w:sz="0" w:space="0" w:color="auto"/>
            <w:bottom w:val="none" w:sz="0" w:space="0" w:color="auto"/>
            <w:right w:val="none" w:sz="0" w:space="0" w:color="auto"/>
          </w:divBdr>
          <w:divsChild>
            <w:div w:id="1356232384">
              <w:marLeft w:val="0"/>
              <w:marRight w:val="0"/>
              <w:marTop w:val="0"/>
              <w:marBottom w:val="0"/>
              <w:divBdr>
                <w:top w:val="none" w:sz="0" w:space="0" w:color="auto"/>
                <w:left w:val="none" w:sz="0" w:space="0" w:color="auto"/>
                <w:bottom w:val="none" w:sz="0" w:space="0" w:color="auto"/>
                <w:right w:val="none" w:sz="0" w:space="0" w:color="auto"/>
              </w:divBdr>
              <w:divsChild>
                <w:div w:id="228544783">
                  <w:marLeft w:val="0"/>
                  <w:marRight w:val="0"/>
                  <w:marTop w:val="0"/>
                  <w:marBottom w:val="0"/>
                  <w:divBdr>
                    <w:top w:val="none" w:sz="0" w:space="0" w:color="auto"/>
                    <w:left w:val="none" w:sz="0" w:space="0" w:color="auto"/>
                    <w:bottom w:val="none" w:sz="0" w:space="0" w:color="auto"/>
                    <w:right w:val="none" w:sz="0" w:space="0" w:color="auto"/>
                  </w:divBdr>
                  <w:divsChild>
                    <w:div w:id="357706327">
                      <w:marLeft w:val="0"/>
                      <w:marRight w:val="0"/>
                      <w:marTop w:val="0"/>
                      <w:marBottom w:val="0"/>
                      <w:divBdr>
                        <w:top w:val="none" w:sz="0" w:space="0" w:color="auto"/>
                        <w:left w:val="none" w:sz="0" w:space="0" w:color="auto"/>
                        <w:bottom w:val="none" w:sz="0" w:space="0" w:color="auto"/>
                        <w:right w:val="none" w:sz="0" w:space="0" w:color="auto"/>
                      </w:divBdr>
                    </w:div>
                    <w:div w:id="1740639868">
                      <w:marLeft w:val="0"/>
                      <w:marRight w:val="0"/>
                      <w:marTop w:val="0"/>
                      <w:marBottom w:val="0"/>
                      <w:divBdr>
                        <w:top w:val="none" w:sz="0" w:space="0" w:color="auto"/>
                        <w:left w:val="none" w:sz="0" w:space="0" w:color="auto"/>
                        <w:bottom w:val="none" w:sz="0" w:space="0" w:color="auto"/>
                        <w:right w:val="none" w:sz="0" w:space="0" w:color="auto"/>
                      </w:divBdr>
                    </w:div>
                    <w:div w:id="39870121">
                      <w:marLeft w:val="240"/>
                      <w:marRight w:val="0"/>
                      <w:marTop w:val="0"/>
                      <w:marBottom w:val="0"/>
                      <w:divBdr>
                        <w:top w:val="none" w:sz="0" w:space="0" w:color="auto"/>
                        <w:left w:val="none" w:sz="0" w:space="0" w:color="auto"/>
                        <w:bottom w:val="none" w:sz="0" w:space="0" w:color="auto"/>
                        <w:right w:val="none" w:sz="0" w:space="0" w:color="auto"/>
                      </w:divBdr>
                      <w:divsChild>
                        <w:div w:id="747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7651">
                  <w:marLeft w:val="0"/>
                  <w:marRight w:val="0"/>
                  <w:marTop w:val="0"/>
                  <w:marBottom w:val="0"/>
                  <w:divBdr>
                    <w:top w:val="none" w:sz="0" w:space="0" w:color="auto"/>
                    <w:left w:val="none" w:sz="0" w:space="0" w:color="auto"/>
                    <w:bottom w:val="none" w:sz="0" w:space="0" w:color="auto"/>
                    <w:right w:val="none" w:sz="0" w:space="0" w:color="auto"/>
                  </w:divBdr>
                  <w:divsChild>
                    <w:div w:id="1463890377">
                      <w:marLeft w:val="0"/>
                      <w:marRight w:val="0"/>
                      <w:marTop w:val="0"/>
                      <w:marBottom w:val="0"/>
                      <w:divBdr>
                        <w:top w:val="none" w:sz="0" w:space="0" w:color="auto"/>
                        <w:left w:val="none" w:sz="0" w:space="0" w:color="auto"/>
                        <w:bottom w:val="none" w:sz="0" w:space="0" w:color="auto"/>
                        <w:right w:val="none" w:sz="0" w:space="0" w:color="auto"/>
                      </w:divBdr>
                    </w:div>
                    <w:div w:id="1211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67457">
          <w:marLeft w:val="0"/>
          <w:marRight w:val="0"/>
          <w:marTop w:val="166"/>
          <w:marBottom w:val="166"/>
          <w:divBdr>
            <w:top w:val="none" w:sz="0" w:space="0" w:color="auto"/>
            <w:left w:val="none" w:sz="0" w:space="0" w:color="auto"/>
            <w:bottom w:val="none" w:sz="0" w:space="0" w:color="auto"/>
            <w:right w:val="none" w:sz="0" w:space="0" w:color="auto"/>
          </w:divBdr>
          <w:divsChild>
            <w:div w:id="683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3499">
      <w:bodyDiv w:val="1"/>
      <w:marLeft w:val="0"/>
      <w:marRight w:val="0"/>
      <w:marTop w:val="0"/>
      <w:marBottom w:val="0"/>
      <w:divBdr>
        <w:top w:val="none" w:sz="0" w:space="0" w:color="auto"/>
        <w:left w:val="none" w:sz="0" w:space="0" w:color="auto"/>
        <w:bottom w:val="none" w:sz="0" w:space="0" w:color="auto"/>
        <w:right w:val="none" w:sz="0" w:space="0" w:color="auto"/>
      </w:divBdr>
      <w:divsChild>
        <w:div w:id="1244795996">
          <w:marLeft w:val="0"/>
          <w:marRight w:val="0"/>
          <w:marTop w:val="0"/>
          <w:marBottom w:val="166"/>
          <w:divBdr>
            <w:top w:val="none" w:sz="0" w:space="0" w:color="auto"/>
            <w:left w:val="none" w:sz="0" w:space="0" w:color="auto"/>
            <w:bottom w:val="none" w:sz="0" w:space="0" w:color="auto"/>
            <w:right w:val="none" w:sz="0" w:space="0" w:color="auto"/>
          </w:divBdr>
          <w:divsChild>
            <w:div w:id="998118460">
              <w:marLeft w:val="0"/>
              <w:marRight w:val="0"/>
              <w:marTop w:val="0"/>
              <w:marBottom w:val="0"/>
              <w:divBdr>
                <w:top w:val="none" w:sz="0" w:space="0" w:color="auto"/>
                <w:left w:val="none" w:sz="0" w:space="0" w:color="auto"/>
                <w:bottom w:val="none" w:sz="0" w:space="0" w:color="auto"/>
                <w:right w:val="none" w:sz="0" w:space="0" w:color="auto"/>
              </w:divBdr>
              <w:divsChild>
                <w:div w:id="1978680229">
                  <w:marLeft w:val="0"/>
                  <w:marRight w:val="0"/>
                  <w:marTop w:val="0"/>
                  <w:marBottom w:val="0"/>
                  <w:divBdr>
                    <w:top w:val="none" w:sz="0" w:space="0" w:color="auto"/>
                    <w:left w:val="none" w:sz="0" w:space="0" w:color="auto"/>
                    <w:bottom w:val="none" w:sz="0" w:space="0" w:color="auto"/>
                    <w:right w:val="none" w:sz="0" w:space="0" w:color="auto"/>
                  </w:divBdr>
                  <w:divsChild>
                    <w:div w:id="2011717945">
                      <w:marLeft w:val="0"/>
                      <w:marRight w:val="0"/>
                      <w:marTop w:val="0"/>
                      <w:marBottom w:val="0"/>
                      <w:divBdr>
                        <w:top w:val="none" w:sz="0" w:space="0" w:color="auto"/>
                        <w:left w:val="none" w:sz="0" w:space="0" w:color="auto"/>
                        <w:bottom w:val="none" w:sz="0" w:space="0" w:color="auto"/>
                        <w:right w:val="none" w:sz="0" w:space="0" w:color="auto"/>
                      </w:divBdr>
                      <w:divsChild>
                        <w:div w:id="1455561729">
                          <w:marLeft w:val="0"/>
                          <w:marRight w:val="0"/>
                          <w:marTop w:val="0"/>
                          <w:marBottom w:val="0"/>
                          <w:divBdr>
                            <w:top w:val="none" w:sz="0" w:space="0" w:color="auto"/>
                            <w:left w:val="none" w:sz="0" w:space="0" w:color="auto"/>
                            <w:bottom w:val="none" w:sz="0" w:space="0" w:color="auto"/>
                            <w:right w:val="none" w:sz="0" w:space="0" w:color="auto"/>
                          </w:divBdr>
                        </w:div>
                        <w:div w:id="19049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417">
                  <w:marLeft w:val="0"/>
                  <w:marRight w:val="0"/>
                  <w:marTop w:val="0"/>
                  <w:marBottom w:val="0"/>
                  <w:divBdr>
                    <w:top w:val="none" w:sz="0" w:space="0" w:color="auto"/>
                    <w:left w:val="none" w:sz="0" w:space="0" w:color="auto"/>
                    <w:bottom w:val="none" w:sz="0" w:space="0" w:color="auto"/>
                    <w:right w:val="none" w:sz="0" w:space="0" w:color="auto"/>
                  </w:divBdr>
                  <w:divsChild>
                    <w:div w:id="6080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2985">
          <w:marLeft w:val="0"/>
          <w:marRight w:val="0"/>
          <w:marTop w:val="166"/>
          <w:marBottom w:val="166"/>
          <w:divBdr>
            <w:top w:val="none" w:sz="0" w:space="0" w:color="auto"/>
            <w:left w:val="none" w:sz="0" w:space="0" w:color="auto"/>
            <w:bottom w:val="none" w:sz="0" w:space="0" w:color="auto"/>
            <w:right w:val="none" w:sz="0" w:space="0" w:color="auto"/>
          </w:divBdr>
          <w:divsChild>
            <w:div w:id="5883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972">
      <w:bodyDiv w:val="1"/>
      <w:marLeft w:val="0"/>
      <w:marRight w:val="0"/>
      <w:marTop w:val="0"/>
      <w:marBottom w:val="0"/>
      <w:divBdr>
        <w:top w:val="none" w:sz="0" w:space="0" w:color="auto"/>
        <w:left w:val="none" w:sz="0" w:space="0" w:color="auto"/>
        <w:bottom w:val="none" w:sz="0" w:space="0" w:color="auto"/>
        <w:right w:val="none" w:sz="0" w:space="0" w:color="auto"/>
      </w:divBdr>
    </w:div>
    <w:div w:id="1381830691">
      <w:bodyDiv w:val="1"/>
      <w:marLeft w:val="0"/>
      <w:marRight w:val="0"/>
      <w:marTop w:val="0"/>
      <w:marBottom w:val="0"/>
      <w:divBdr>
        <w:top w:val="none" w:sz="0" w:space="0" w:color="auto"/>
        <w:left w:val="none" w:sz="0" w:space="0" w:color="auto"/>
        <w:bottom w:val="none" w:sz="0" w:space="0" w:color="auto"/>
        <w:right w:val="none" w:sz="0" w:space="0" w:color="auto"/>
      </w:divBdr>
    </w:div>
    <w:div w:id="1385565611">
      <w:bodyDiv w:val="1"/>
      <w:marLeft w:val="0"/>
      <w:marRight w:val="0"/>
      <w:marTop w:val="0"/>
      <w:marBottom w:val="0"/>
      <w:divBdr>
        <w:top w:val="none" w:sz="0" w:space="0" w:color="auto"/>
        <w:left w:val="none" w:sz="0" w:space="0" w:color="auto"/>
        <w:bottom w:val="none" w:sz="0" w:space="0" w:color="auto"/>
        <w:right w:val="none" w:sz="0" w:space="0" w:color="auto"/>
      </w:divBdr>
    </w:div>
    <w:div w:id="1506624651">
      <w:bodyDiv w:val="1"/>
      <w:marLeft w:val="0"/>
      <w:marRight w:val="0"/>
      <w:marTop w:val="0"/>
      <w:marBottom w:val="0"/>
      <w:divBdr>
        <w:top w:val="none" w:sz="0" w:space="0" w:color="auto"/>
        <w:left w:val="none" w:sz="0" w:space="0" w:color="auto"/>
        <w:bottom w:val="none" w:sz="0" w:space="0" w:color="auto"/>
        <w:right w:val="none" w:sz="0" w:space="0" w:color="auto"/>
      </w:divBdr>
    </w:div>
    <w:div w:id="1914512578">
      <w:bodyDiv w:val="1"/>
      <w:marLeft w:val="0"/>
      <w:marRight w:val="0"/>
      <w:marTop w:val="0"/>
      <w:marBottom w:val="0"/>
      <w:divBdr>
        <w:top w:val="none" w:sz="0" w:space="0" w:color="auto"/>
        <w:left w:val="none" w:sz="0" w:space="0" w:color="auto"/>
        <w:bottom w:val="none" w:sz="0" w:space="0" w:color="auto"/>
        <w:right w:val="none" w:sz="0" w:space="0" w:color="auto"/>
      </w:divBdr>
    </w:div>
    <w:div w:id="19551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Sudharsan</dc:creator>
  <cp:lastModifiedBy>Sudharsan</cp:lastModifiedBy>
  <cp:revision>11</cp:revision>
  <dcterms:created xsi:type="dcterms:W3CDTF">2016-08-17T16:21:00Z</dcterms:created>
  <dcterms:modified xsi:type="dcterms:W3CDTF">2016-08-21T17:12:00Z</dcterms:modified>
</cp:coreProperties>
</file>